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A0" w:rsidRPr="002114A2" w:rsidRDefault="00661AE1" w:rsidP="00661AE1">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Peter Mih</w:t>
      </w:r>
      <w:r w:rsidR="00BF4B53">
        <w:rPr>
          <w:rFonts w:ascii="Times New Roman" w:hAnsi="Times New Roman" w:cs="Times New Roman"/>
          <w:sz w:val="24"/>
          <w:szCs w:val="24"/>
          <w:lang w:val="en-GB"/>
        </w:rPr>
        <w:t>a</w:t>
      </w:r>
      <w:r w:rsidRPr="002114A2">
        <w:rPr>
          <w:rFonts w:ascii="Times New Roman" w:hAnsi="Times New Roman" w:cs="Times New Roman"/>
          <w:sz w:val="24"/>
          <w:szCs w:val="24"/>
          <w:lang w:val="en-GB"/>
        </w:rPr>
        <w:t>lyi</w:t>
      </w:r>
      <w:r w:rsidR="002114A2" w:rsidRPr="002114A2">
        <w:rPr>
          <w:rStyle w:val="FootnoteReference"/>
          <w:rFonts w:ascii="Times New Roman" w:hAnsi="Times New Roman" w:cs="Times New Roman"/>
          <w:b/>
          <w:sz w:val="24"/>
          <w:szCs w:val="24"/>
          <w:lang w:val="en-GB"/>
        </w:rPr>
        <w:footnoteReference w:id="1"/>
      </w:r>
    </w:p>
    <w:p w:rsidR="00661AE1" w:rsidRPr="002114A2" w:rsidRDefault="00661AE1" w:rsidP="00661AE1">
      <w:pPr>
        <w:jc w:val="center"/>
        <w:rPr>
          <w:rFonts w:ascii="Times New Roman" w:hAnsi="Times New Roman" w:cs="Times New Roman"/>
          <w:sz w:val="24"/>
          <w:szCs w:val="24"/>
          <w:lang w:val="en-GB"/>
        </w:rPr>
      </w:pPr>
    </w:p>
    <w:p w:rsidR="00661AE1" w:rsidRDefault="00661AE1" w:rsidP="002114A2">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Renationalization and Recentralization in Hungary, 2010-2016</w:t>
      </w:r>
      <w:r w:rsidR="0020565C">
        <w:rPr>
          <w:rStyle w:val="FootnoteReference"/>
          <w:rFonts w:ascii="Times New Roman" w:hAnsi="Times New Roman" w:cs="Times New Roman"/>
          <w:sz w:val="24"/>
          <w:szCs w:val="24"/>
          <w:lang w:val="en-GB"/>
        </w:rPr>
        <w:footnoteReference w:id="2"/>
      </w:r>
    </w:p>
    <w:p w:rsidR="00BF4B53" w:rsidRDefault="00BF4B53" w:rsidP="002114A2">
      <w:pPr>
        <w:jc w:val="center"/>
        <w:rPr>
          <w:rFonts w:ascii="Times New Roman" w:hAnsi="Times New Roman" w:cs="Times New Roman"/>
          <w:sz w:val="24"/>
          <w:szCs w:val="24"/>
          <w:lang w:val="en-GB"/>
        </w:rPr>
      </w:pPr>
    </w:p>
    <w:p w:rsidR="00BF4B53" w:rsidRDefault="00BF4B53" w:rsidP="002114A2">
      <w:pPr>
        <w:jc w:val="center"/>
        <w:rPr>
          <w:rFonts w:ascii="Times New Roman" w:hAnsi="Times New Roman" w:cs="Times New Roman"/>
          <w:sz w:val="24"/>
          <w:szCs w:val="24"/>
          <w:lang w:val="en-GB"/>
        </w:rPr>
      </w:pPr>
    </w:p>
    <w:p w:rsidR="002114A2" w:rsidRPr="002114A2" w:rsidRDefault="002114A2" w:rsidP="002114A2">
      <w:pPr>
        <w:jc w:val="center"/>
        <w:rPr>
          <w:rFonts w:ascii="Times New Roman" w:hAnsi="Times New Roman" w:cs="Times New Roman"/>
          <w:sz w:val="24"/>
          <w:szCs w:val="24"/>
          <w:lang w:val="en-GB"/>
        </w:rPr>
      </w:pPr>
    </w:p>
    <w:p w:rsidR="002114A2" w:rsidRDefault="00174CFB" w:rsidP="00174CFB">
      <w:pPr>
        <w:jc w:val="center"/>
        <w:rPr>
          <w:rFonts w:ascii="Times New Roman" w:hAnsi="Times New Roman" w:cs="Times New Roman"/>
          <w:sz w:val="24"/>
          <w:szCs w:val="24"/>
          <w:lang w:val="en-GB"/>
        </w:rPr>
      </w:pPr>
      <w:r>
        <w:rPr>
          <w:rFonts w:ascii="Times New Roman" w:hAnsi="Times New Roman" w:cs="Times New Roman"/>
          <w:sz w:val="24"/>
          <w:szCs w:val="24"/>
          <w:lang w:val="en-GB"/>
        </w:rPr>
        <w:t>ABSTRACT</w:t>
      </w:r>
    </w:p>
    <w:p w:rsidR="00BF4B53" w:rsidRDefault="00174CFB" w:rsidP="002114A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paper presents a </w:t>
      </w:r>
      <w:r w:rsidR="00716E22">
        <w:rPr>
          <w:rFonts w:ascii="Times New Roman" w:hAnsi="Times New Roman" w:cs="Times New Roman"/>
          <w:sz w:val="24"/>
          <w:szCs w:val="24"/>
          <w:lang w:val="en-GB"/>
        </w:rPr>
        <w:t xml:space="preserve">brief </w:t>
      </w:r>
      <w:r>
        <w:rPr>
          <w:rFonts w:ascii="Times New Roman" w:hAnsi="Times New Roman" w:cs="Times New Roman"/>
          <w:sz w:val="24"/>
          <w:szCs w:val="24"/>
          <w:lang w:val="en-GB"/>
        </w:rPr>
        <w:t>account of the ongoing Hungarian renationalization and recentralization process under the 2</w:t>
      </w:r>
      <w:r w:rsidRPr="00174CFB">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and 3nd government of Prime Minister Viktor Orbán.   </w:t>
      </w:r>
      <w:r w:rsidR="00BF4B53">
        <w:rPr>
          <w:rFonts w:ascii="Times New Roman" w:hAnsi="Times New Roman" w:cs="Times New Roman"/>
          <w:sz w:val="24"/>
          <w:szCs w:val="24"/>
          <w:lang w:val="en-GB"/>
        </w:rPr>
        <w:t xml:space="preserve">Under his autocratic rule, </w:t>
      </w:r>
      <w:r>
        <w:rPr>
          <w:rFonts w:ascii="Times New Roman" w:hAnsi="Times New Roman" w:cs="Times New Roman"/>
          <w:sz w:val="24"/>
          <w:szCs w:val="24"/>
          <w:lang w:val="en-GB"/>
        </w:rPr>
        <w:t>Hungary, the former leading reform country in Central and Eastern Europe has made a sharp U-turn</w:t>
      </w:r>
      <w:r w:rsidR="00BF4B53">
        <w:rPr>
          <w:rFonts w:ascii="Times New Roman" w:hAnsi="Times New Roman" w:cs="Times New Roman"/>
          <w:sz w:val="24"/>
          <w:szCs w:val="24"/>
          <w:lang w:val="en-GB"/>
        </w:rPr>
        <w:t>.  M</w:t>
      </w:r>
      <w:r>
        <w:rPr>
          <w:rFonts w:ascii="Times New Roman" w:hAnsi="Times New Roman" w:cs="Times New Roman"/>
          <w:sz w:val="24"/>
          <w:szCs w:val="24"/>
          <w:lang w:val="en-GB"/>
        </w:rPr>
        <w:t>any features of the former centralized planning system ha</w:t>
      </w:r>
      <w:r w:rsidR="00CA1DF4">
        <w:rPr>
          <w:rFonts w:ascii="Times New Roman" w:hAnsi="Times New Roman" w:cs="Times New Roman"/>
          <w:sz w:val="24"/>
          <w:szCs w:val="24"/>
          <w:lang w:val="en-GB"/>
        </w:rPr>
        <w:t>ve</w:t>
      </w:r>
      <w:r>
        <w:rPr>
          <w:rFonts w:ascii="Times New Roman" w:hAnsi="Times New Roman" w:cs="Times New Roman"/>
          <w:sz w:val="24"/>
          <w:szCs w:val="24"/>
          <w:lang w:val="en-GB"/>
        </w:rPr>
        <w:t xml:space="preserve"> been reintroduced</w:t>
      </w:r>
      <w:r w:rsidR="0001152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author’s conclusion is that the changes in ownership have been significant, but they can be relatively quickly reversed by a future, competition-oriented new </w:t>
      </w:r>
      <w:r w:rsidR="00716E22">
        <w:rPr>
          <w:rFonts w:ascii="Times New Roman" w:hAnsi="Times New Roman" w:cs="Times New Roman"/>
          <w:sz w:val="24"/>
          <w:szCs w:val="24"/>
          <w:lang w:val="en-GB"/>
        </w:rPr>
        <w:t xml:space="preserve">government. </w:t>
      </w:r>
      <w:r>
        <w:rPr>
          <w:rFonts w:ascii="Times New Roman" w:hAnsi="Times New Roman" w:cs="Times New Roman"/>
          <w:sz w:val="24"/>
          <w:szCs w:val="24"/>
          <w:lang w:val="en-GB"/>
        </w:rPr>
        <w:t xml:space="preserve">  It would be </w:t>
      </w:r>
      <w:r w:rsidR="000347C9">
        <w:rPr>
          <w:rFonts w:ascii="Times New Roman" w:hAnsi="Times New Roman" w:cs="Times New Roman"/>
          <w:sz w:val="24"/>
          <w:szCs w:val="24"/>
          <w:lang w:val="en-GB"/>
        </w:rPr>
        <w:t xml:space="preserve">perplexing </w:t>
      </w:r>
      <w:r>
        <w:rPr>
          <w:rFonts w:ascii="Times New Roman" w:hAnsi="Times New Roman" w:cs="Times New Roman"/>
          <w:sz w:val="24"/>
          <w:szCs w:val="24"/>
          <w:lang w:val="en-GB"/>
        </w:rPr>
        <w:t>and time consuming to build-</w:t>
      </w:r>
      <w:r w:rsidR="00CA1DF4">
        <w:rPr>
          <w:rFonts w:ascii="Times New Roman" w:hAnsi="Times New Roman" w:cs="Times New Roman"/>
          <w:sz w:val="24"/>
          <w:szCs w:val="24"/>
          <w:lang w:val="en-GB"/>
        </w:rPr>
        <w:t xml:space="preserve">down the newly created institutions, </w:t>
      </w:r>
      <w:r w:rsidR="00011525">
        <w:rPr>
          <w:rFonts w:ascii="Times New Roman" w:hAnsi="Times New Roman" w:cs="Times New Roman"/>
          <w:sz w:val="24"/>
          <w:szCs w:val="24"/>
          <w:lang w:val="en-GB"/>
        </w:rPr>
        <w:t xml:space="preserve">the </w:t>
      </w:r>
      <w:r w:rsidR="00CA1DF4">
        <w:rPr>
          <w:rFonts w:ascii="Times New Roman" w:hAnsi="Times New Roman" w:cs="Times New Roman"/>
          <w:sz w:val="24"/>
          <w:szCs w:val="24"/>
          <w:lang w:val="en-GB"/>
        </w:rPr>
        <w:t xml:space="preserve">laws and regulations which were introduced over the past 6 years and protected by a set of cardinal laws, requiring 2/3 </w:t>
      </w:r>
      <w:r w:rsidR="00011525">
        <w:rPr>
          <w:rFonts w:ascii="Times New Roman" w:hAnsi="Times New Roman" w:cs="Times New Roman"/>
          <w:sz w:val="24"/>
          <w:szCs w:val="24"/>
          <w:lang w:val="en-GB"/>
        </w:rPr>
        <w:t xml:space="preserve">parliamentary </w:t>
      </w:r>
      <w:r w:rsidR="00CA1DF4">
        <w:rPr>
          <w:rFonts w:ascii="Times New Roman" w:hAnsi="Times New Roman" w:cs="Times New Roman"/>
          <w:sz w:val="24"/>
          <w:szCs w:val="24"/>
          <w:lang w:val="en-GB"/>
        </w:rPr>
        <w:t xml:space="preserve">majority for change. </w:t>
      </w:r>
    </w:p>
    <w:p w:rsidR="00BF4B53" w:rsidRDefault="00BF4B53" w:rsidP="002114A2">
      <w:pPr>
        <w:jc w:val="both"/>
        <w:rPr>
          <w:rFonts w:ascii="Times New Roman" w:hAnsi="Times New Roman" w:cs="Times New Roman"/>
          <w:sz w:val="24"/>
          <w:szCs w:val="24"/>
          <w:lang w:val="en-GB"/>
        </w:rPr>
      </w:pPr>
    </w:p>
    <w:p w:rsidR="00BF4B53" w:rsidRPr="00BF4B53" w:rsidRDefault="00BF4B53" w:rsidP="00BF4B53">
      <w:pPr>
        <w:jc w:val="both"/>
        <w:rPr>
          <w:rFonts w:ascii="Times New Roman" w:hAnsi="Times New Roman" w:cs="Times New Roman"/>
          <w:sz w:val="24"/>
          <w:szCs w:val="24"/>
          <w:lang w:val="en-GB"/>
        </w:rPr>
      </w:pPr>
      <w:r w:rsidRPr="00BF4B53">
        <w:rPr>
          <w:rFonts w:ascii="Times New Roman" w:hAnsi="Times New Roman" w:cs="Times New Roman"/>
          <w:sz w:val="24"/>
          <w:szCs w:val="24"/>
          <w:lang w:val="en-GB"/>
        </w:rPr>
        <w:t>Keywords: Nationalization, privatization, state ownership, illiberal economic policies</w:t>
      </w:r>
    </w:p>
    <w:p w:rsidR="00174CFB" w:rsidRPr="00BF4B53" w:rsidRDefault="00BF4B53" w:rsidP="00BF4B53">
      <w:pPr>
        <w:jc w:val="both"/>
        <w:rPr>
          <w:rFonts w:ascii="Times New Roman" w:hAnsi="Times New Roman" w:cs="Times New Roman"/>
          <w:sz w:val="24"/>
          <w:szCs w:val="24"/>
          <w:lang w:val="fr-FR"/>
        </w:rPr>
      </w:pPr>
      <w:r w:rsidRPr="00BF4B53">
        <w:rPr>
          <w:rFonts w:ascii="Times New Roman" w:hAnsi="Times New Roman" w:cs="Times New Roman"/>
          <w:sz w:val="24"/>
          <w:szCs w:val="24"/>
          <w:lang w:val="fr-FR"/>
        </w:rPr>
        <w:t>JEL classification: P20, P26, P31, P51</w:t>
      </w:r>
    </w:p>
    <w:p w:rsidR="002114A2" w:rsidRPr="00BF4B53" w:rsidRDefault="002114A2">
      <w:pPr>
        <w:rPr>
          <w:rFonts w:ascii="Times New Roman" w:hAnsi="Times New Roman" w:cs="Times New Roman"/>
          <w:sz w:val="24"/>
          <w:szCs w:val="24"/>
          <w:lang w:val="fr-FR"/>
        </w:rPr>
      </w:pPr>
      <w:r w:rsidRPr="00BF4B53">
        <w:rPr>
          <w:rFonts w:ascii="Times New Roman" w:hAnsi="Times New Roman" w:cs="Times New Roman"/>
          <w:sz w:val="24"/>
          <w:szCs w:val="24"/>
          <w:lang w:val="fr-FR"/>
        </w:rPr>
        <w:br w:type="page"/>
      </w:r>
    </w:p>
    <w:p w:rsidR="00D54844" w:rsidRPr="00BF4B53" w:rsidRDefault="00D54844" w:rsidP="00D54844">
      <w:pPr>
        <w:pStyle w:val="ListParagraph"/>
        <w:numPr>
          <w:ilvl w:val="0"/>
          <w:numId w:val="2"/>
        </w:numPr>
        <w:spacing w:line="360" w:lineRule="auto"/>
        <w:jc w:val="center"/>
        <w:rPr>
          <w:rFonts w:ascii="Times New Roman" w:hAnsi="Times New Roman" w:cs="Times New Roman"/>
          <w:sz w:val="24"/>
          <w:szCs w:val="24"/>
          <w:lang w:val="fr-FR"/>
        </w:rPr>
      </w:pPr>
      <w:r w:rsidRPr="00BF4B53">
        <w:rPr>
          <w:rFonts w:ascii="Times New Roman" w:hAnsi="Times New Roman" w:cs="Times New Roman"/>
          <w:sz w:val="24"/>
          <w:szCs w:val="24"/>
          <w:lang w:val="fr-FR"/>
        </w:rPr>
        <w:lastRenderedPageBreak/>
        <w:t xml:space="preserve"> </w:t>
      </w:r>
    </w:p>
    <w:p w:rsidR="002114A2" w:rsidRPr="002114A2" w:rsidRDefault="00BA48F9" w:rsidP="002114A2">
      <w:pPr>
        <w:spacing w:line="360" w:lineRule="auto"/>
        <w:jc w:val="both"/>
        <w:rPr>
          <w:rFonts w:ascii="Times New Roman" w:hAnsi="Times New Roman" w:cs="Times New Roman"/>
          <w:sz w:val="24"/>
          <w:szCs w:val="24"/>
          <w:lang w:val="en-GB"/>
        </w:rPr>
      </w:pPr>
      <w:r>
        <w:rPr>
          <w:rFonts w:ascii="Times New Roman" w:hAnsi="Times New Roman" w:cs="Times New Roman"/>
          <w:i/>
          <w:sz w:val="24"/>
          <w:szCs w:val="24"/>
          <w:lang w:val="en-GB"/>
        </w:rPr>
        <w:t>A sharp U-turn.</w:t>
      </w:r>
      <w:r w:rsidR="002114A2" w:rsidRPr="002114A2">
        <w:rPr>
          <w:rFonts w:ascii="Times New Roman" w:hAnsi="Times New Roman" w:cs="Times New Roman"/>
          <w:sz w:val="24"/>
          <w:szCs w:val="24"/>
          <w:lang w:val="en-GB"/>
        </w:rPr>
        <w:t xml:space="preserve">  In 1990, Hungary became a Parliamentary democracy, in which </w:t>
      </w:r>
      <w:r w:rsidR="00204F00">
        <w:rPr>
          <w:rFonts w:ascii="Times New Roman" w:hAnsi="Times New Roman" w:cs="Times New Roman"/>
          <w:sz w:val="24"/>
          <w:szCs w:val="24"/>
          <w:lang w:val="en-GB"/>
        </w:rPr>
        <w:t xml:space="preserve">human rights and </w:t>
      </w:r>
      <w:r w:rsidR="002114A2" w:rsidRPr="002114A2">
        <w:rPr>
          <w:rFonts w:ascii="Times New Roman" w:hAnsi="Times New Roman" w:cs="Times New Roman"/>
          <w:sz w:val="24"/>
          <w:szCs w:val="24"/>
          <w:lang w:val="en-GB"/>
        </w:rPr>
        <w:t>private property w</w:t>
      </w:r>
      <w:r w:rsidR="00204F00">
        <w:rPr>
          <w:rFonts w:ascii="Times New Roman" w:hAnsi="Times New Roman" w:cs="Times New Roman"/>
          <w:sz w:val="24"/>
          <w:szCs w:val="24"/>
          <w:lang w:val="en-GB"/>
        </w:rPr>
        <w:t>ere</w:t>
      </w:r>
      <w:r w:rsidR="002114A2" w:rsidRPr="002114A2">
        <w:rPr>
          <w:rFonts w:ascii="Times New Roman" w:hAnsi="Times New Roman" w:cs="Times New Roman"/>
          <w:sz w:val="24"/>
          <w:szCs w:val="24"/>
          <w:lang w:val="en-GB"/>
        </w:rPr>
        <w:t xml:space="preserve"> enshrined in the constitution and strong institutions upheld a </w:t>
      </w:r>
      <w:r w:rsidR="00716E22">
        <w:rPr>
          <w:rFonts w:ascii="Times New Roman" w:hAnsi="Times New Roman" w:cs="Times New Roman"/>
          <w:sz w:val="24"/>
          <w:szCs w:val="24"/>
          <w:lang w:val="en-GB"/>
        </w:rPr>
        <w:t xml:space="preserve">Western-type </w:t>
      </w:r>
      <w:r w:rsidR="002114A2" w:rsidRPr="002114A2">
        <w:rPr>
          <w:rFonts w:ascii="Times New Roman" w:hAnsi="Times New Roman" w:cs="Times New Roman"/>
          <w:sz w:val="24"/>
          <w:szCs w:val="24"/>
          <w:lang w:val="en-GB"/>
        </w:rPr>
        <w:t>network of checks and balances.  Subsequently, the country was the pioneer of the post-communist transformation process for roughly a decade.  This policy brought not only a record amount of privatization revenues (Figure 1), but also a record amount of FDI into the country through green-field investment projects.</w:t>
      </w:r>
      <w:r w:rsidR="002114A2" w:rsidRPr="002114A2">
        <w:rPr>
          <w:rStyle w:val="FootnoteReference"/>
          <w:rFonts w:ascii="Times New Roman" w:hAnsi="Times New Roman" w:cs="Times New Roman"/>
          <w:sz w:val="24"/>
          <w:szCs w:val="24"/>
          <w:lang w:val="en-GB"/>
        </w:rPr>
        <w:footnoteReference w:id="3"/>
      </w:r>
      <w:r w:rsidR="002114A2" w:rsidRPr="002114A2">
        <w:rPr>
          <w:rFonts w:ascii="Times New Roman" w:hAnsi="Times New Roman" w:cs="Times New Roman"/>
          <w:sz w:val="24"/>
          <w:szCs w:val="24"/>
          <w:lang w:val="en-GB"/>
        </w:rPr>
        <w:t xml:space="preserve">  </w:t>
      </w:r>
    </w:p>
    <w:p w:rsidR="002114A2" w:rsidRPr="00BF4B53" w:rsidRDefault="002114A2" w:rsidP="002114A2">
      <w:pPr>
        <w:jc w:val="both"/>
        <w:rPr>
          <w:rFonts w:ascii="Times New Roman" w:hAnsi="Times New Roman" w:cs="Times New Roman"/>
          <w:smallCaps/>
          <w:sz w:val="24"/>
          <w:szCs w:val="24"/>
          <w:lang w:val="en-GB"/>
        </w:rPr>
      </w:pPr>
      <w:r w:rsidRPr="00265113">
        <w:rPr>
          <w:rFonts w:ascii="Times New Roman" w:hAnsi="Times New Roman" w:cs="Times New Roman"/>
          <w:b/>
          <w:smallCaps/>
          <w:sz w:val="24"/>
          <w:szCs w:val="24"/>
          <w:lang w:val="en-GB"/>
        </w:rPr>
        <w:t>Figure 1:</w:t>
      </w:r>
      <w:r w:rsidRPr="00BF4B53">
        <w:rPr>
          <w:rFonts w:ascii="Times New Roman" w:hAnsi="Times New Roman" w:cs="Times New Roman"/>
          <w:smallCaps/>
          <w:sz w:val="24"/>
          <w:szCs w:val="24"/>
          <w:lang w:val="en-GB"/>
        </w:rPr>
        <w:t xml:space="preserve"> The cumulative size of privatization revenues in selected Central and Eastern European countries (as a % of GDP), 1990 - 2012</w:t>
      </w:r>
    </w:p>
    <w:p w:rsidR="002114A2" w:rsidRPr="002114A2" w:rsidRDefault="002114A2" w:rsidP="002114A2">
      <w:pPr>
        <w:spacing w:line="360" w:lineRule="auto"/>
        <w:jc w:val="both"/>
        <w:rPr>
          <w:rFonts w:ascii="Times New Roman" w:hAnsi="Times New Roman" w:cs="Times New Roman"/>
          <w:caps/>
          <w:sz w:val="24"/>
          <w:szCs w:val="24"/>
          <w:lang w:val="en-GB"/>
        </w:rPr>
      </w:pPr>
    </w:p>
    <w:p w:rsidR="002114A2" w:rsidRPr="002114A2" w:rsidRDefault="002114A2" w:rsidP="002114A2">
      <w:pPr>
        <w:spacing w:line="360" w:lineRule="auto"/>
        <w:jc w:val="both"/>
        <w:rPr>
          <w:rFonts w:ascii="Times New Roman" w:hAnsi="Times New Roman" w:cs="Times New Roman"/>
          <w:sz w:val="24"/>
          <w:szCs w:val="24"/>
          <w:lang w:val="en-GB"/>
        </w:rPr>
      </w:pPr>
      <w:r w:rsidRPr="002114A2">
        <w:rPr>
          <w:rFonts w:ascii="Times New Roman" w:hAnsi="Times New Roman" w:cs="Times New Roman"/>
          <w:noProof/>
          <w:sz w:val="24"/>
          <w:szCs w:val="24"/>
          <w:lang w:val="en-US"/>
        </w:rPr>
        <w:drawing>
          <wp:inline distT="0" distB="0" distL="0" distR="0">
            <wp:extent cx="5791200" cy="3749040"/>
            <wp:effectExtent l="0" t="0" r="19050" b="2286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2114A2">
        <w:rPr>
          <w:rFonts w:ascii="Times New Roman" w:hAnsi="Times New Roman" w:cs="Times New Roman"/>
          <w:sz w:val="24"/>
          <w:szCs w:val="24"/>
          <w:lang w:val="en-GB"/>
        </w:rPr>
        <w:t xml:space="preserve"> </w:t>
      </w:r>
    </w:p>
    <w:p w:rsidR="002114A2" w:rsidRPr="006D6C72" w:rsidRDefault="002114A2" w:rsidP="002114A2">
      <w:pPr>
        <w:jc w:val="both"/>
        <w:rPr>
          <w:rFonts w:ascii="Times New Roman" w:hAnsi="Times New Roman" w:cs="Times New Roman"/>
          <w:sz w:val="20"/>
          <w:szCs w:val="20"/>
          <w:lang w:val="en-GB"/>
        </w:rPr>
      </w:pPr>
      <w:r w:rsidRPr="006D6C72">
        <w:rPr>
          <w:rFonts w:ascii="Times New Roman" w:hAnsi="Times New Roman" w:cs="Times New Roman"/>
          <w:b/>
          <w:sz w:val="20"/>
          <w:szCs w:val="20"/>
          <w:lang w:val="en-GB"/>
        </w:rPr>
        <w:t>Source</w:t>
      </w:r>
      <w:r w:rsidRPr="006D6C72">
        <w:rPr>
          <w:rFonts w:ascii="Times New Roman" w:hAnsi="Times New Roman" w:cs="Times New Roman"/>
          <w:sz w:val="20"/>
          <w:szCs w:val="20"/>
          <w:lang w:val="en-GB"/>
        </w:rPr>
        <w:t>: OECD, based on World Bank Privatization Database 1990-2008, World Development Indicators, IMF Article IV reports and CESIFO DICE database.</w:t>
      </w:r>
      <w:r w:rsidRPr="006D6C72">
        <w:rPr>
          <w:rFonts w:ascii="Times New Roman" w:hAnsi="Times New Roman" w:cs="Times New Roman"/>
          <w:sz w:val="20"/>
          <w:szCs w:val="20"/>
          <w:lang w:val="en-GB"/>
        </w:rPr>
        <w:tab/>
      </w:r>
    </w:p>
    <w:p w:rsidR="002114A2" w:rsidRPr="002114A2" w:rsidRDefault="002114A2" w:rsidP="002114A2">
      <w:pPr>
        <w:spacing w:line="360" w:lineRule="auto"/>
        <w:jc w:val="both"/>
        <w:rPr>
          <w:rFonts w:ascii="Times New Roman" w:hAnsi="Times New Roman" w:cs="Times New Roman"/>
          <w:sz w:val="24"/>
          <w:szCs w:val="24"/>
          <w:lang w:val="en-GB"/>
        </w:rPr>
      </w:pPr>
      <w:r w:rsidRPr="002114A2">
        <w:rPr>
          <w:rFonts w:ascii="Times New Roman" w:hAnsi="Times New Roman" w:cs="Times New Roman"/>
          <w:sz w:val="24"/>
          <w:szCs w:val="24"/>
          <w:lang w:val="en-GB"/>
        </w:rPr>
        <w:t xml:space="preserve">Around the mid-1990s, Hungarian privatization officials understood that selling virtually each and every “crown jewel” of the Hungarian economy to the </w:t>
      </w:r>
      <w:r w:rsidR="00716E22">
        <w:rPr>
          <w:rFonts w:ascii="Times New Roman" w:hAnsi="Times New Roman" w:cs="Times New Roman"/>
          <w:sz w:val="24"/>
          <w:szCs w:val="24"/>
          <w:lang w:val="en-GB"/>
        </w:rPr>
        <w:t xml:space="preserve">foreign multinational firms </w:t>
      </w:r>
      <w:r w:rsidRPr="002114A2">
        <w:rPr>
          <w:rFonts w:ascii="Times New Roman" w:hAnsi="Times New Roman" w:cs="Times New Roman"/>
          <w:sz w:val="24"/>
          <w:szCs w:val="24"/>
          <w:lang w:val="en-GB"/>
        </w:rPr>
        <w:t xml:space="preserve">was not merely a financial necessity (to service the National Bank’s FX-denominated foreign </w:t>
      </w:r>
      <w:r w:rsidRPr="002114A2">
        <w:rPr>
          <w:rFonts w:ascii="Times New Roman" w:hAnsi="Times New Roman" w:cs="Times New Roman"/>
          <w:sz w:val="24"/>
          <w:szCs w:val="24"/>
          <w:lang w:val="en-GB"/>
        </w:rPr>
        <w:lastRenderedPageBreak/>
        <w:t xml:space="preserve">debt), but a blessing in disguise.  This was the only conceivable way to put Hungary firmly on an export-led growth path – something that Hungarian policy makers had urged in vain for two decades prior to 1989. </w:t>
      </w:r>
      <w:r w:rsidR="006D6C72">
        <w:rPr>
          <w:rFonts w:ascii="Times New Roman" w:hAnsi="Times New Roman" w:cs="Times New Roman"/>
          <w:sz w:val="24"/>
          <w:szCs w:val="24"/>
          <w:lang w:val="en-GB"/>
        </w:rPr>
        <w:t xml:space="preserve"> </w:t>
      </w:r>
      <w:r w:rsidRPr="002114A2">
        <w:rPr>
          <w:rFonts w:ascii="Times New Roman" w:hAnsi="Times New Roman" w:cs="Times New Roman"/>
          <w:sz w:val="24"/>
          <w:szCs w:val="24"/>
          <w:lang w:val="en-GB"/>
        </w:rPr>
        <w:t xml:space="preserve">In other post-communist countries, policy makers understood this connection 5-10 years later only.  All in all, Hungary became one of the most </w:t>
      </w:r>
      <w:r w:rsidRPr="002114A2">
        <w:rPr>
          <w:rFonts w:ascii="Times New Roman" w:hAnsi="Times New Roman" w:cs="Times New Roman"/>
          <w:b/>
          <w:sz w:val="24"/>
          <w:szCs w:val="24"/>
          <w:lang w:val="en-GB"/>
        </w:rPr>
        <w:t>globalized</w:t>
      </w:r>
      <w:r w:rsidRPr="002114A2">
        <w:rPr>
          <w:rFonts w:ascii="Times New Roman" w:hAnsi="Times New Roman" w:cs="Times New Roman"/>
          <w:sz w:val="24"/>
          <w:szCs w:val="24"/>
          <w:lang w:val="en-GB"/>
        </w:rPr>
        <w:t xml:space="preserve"> and </w:t>
      </w:r>
      <w:r w:rsidRPr="002114A2">
        <w:rPr>
          <w:rFonts w:ascii="Times New Roman" w:hAnsi="Times New Roman" w:cs="Times New Roman"/>
          <w:b/>
          <w:sz w:val="24"/>
          <w:szCs w:val="24"/>
          <w:lang w:val="en-GB"/>
        </w:rPr>
        <w:t>liberalized</w:t>
      </w:r>
      <w:r w:rsidRPr="002114A2">
        <w:rPr>
          <w:rFonts w:ascii="Times New Roman" w:hAnsi="Times New Roman" w:cs="Times New Roman"/>
          <w:sz w:val="24"/>
          <w:szCs w:val="24"/>
          <w:lang w:val="en-GB"/>
        </w:rPr>
        <w:t xml:space="preserve"> economies by the end of the first decade of the 21</w:t>
      </w:r>
      <w:r w:rsidRPr="002114A2">
        <w:rPr>
          <w:rFonts w:ascii="Times New Roman" w:hAnsi="Times New Roman" w:cs="Times New Roman"/>
          <w:sz w:val="24"/>
          <w:szCs w:val="24"/>
          <w:vertAlign w:val="superscript"/>
          <w:lang w:val="en-GB"/>
        </w:rPr>
        <w:t>st</w:t>
      </w:r>
      <w:r w:rsidRPr="002114A2">
        <w:rPr>
          <w:rFonts w:ascii="Times New Roman" w:hAnsi="Times New Roman" w:cs="Times New Roman"/>
          <w:sz w:val="24"/>
          <w:szCs w:val="24"/>
          <w:lang w:val="en-GB"/>
        </w:rPr>
        <w:t xml:space="preserve"> century (Table 1 and Figure 2). </w:t>
      </w:r>
    </w:p>
    <w:p w:rsidR="002114A2" w:rsidRPr="002114A2" w:rsidRDefault="002114A2" w:rsidP="002114A2">
      <w:pPr>
        <w:rPr>
          <w:rFonts w:ascii="Times New Roman" w:hAnsi="Times New Roman" w:cs="Times New Roman"/>
          <w:smallCaps/>
          <w:sz w:val="24"/>
          <w:szCs w:val="24"/>
          <w:lang w:val="en-GB"/>
        </w:rPr>
      </w:pPr>
      <w:bookmarkStart w:id="1" w:name="_Toc440795016"/>
      <w:r w:rsidRPr="00265113">
        <w:rPr>
          <w:rFonts w:ascii="Times New Roman" w:hAnsi="Times New Roman" w:cs="Times New Roman"/>
          <w:b/>
          <w:smallCaps/>
          <w:sz w:val="24"/>
          <w:szCs w:val="24"/>
          <w:lang w:val="en-GB"/>
        </w:rPr>
        <w:t>Table 1</w:t>
      </w:r>
      <w:r w:rsidRPr="002114A2">
        <w:rPr>
          <w:rFonts w:ascii="Times New Roman" w:hAnsi="Times New Roman" w:cs="Times New Roman"/>
          <w:smallCaps/>
          <w:sz w:val="24"/>
          <w:szCs w:val="24"/>
          <w:lang w:val="en-GB"/>
        </w:rPr>
        <w:t>: The degree of market liberalization in OECD countries, 2008</w:t>
      </w:r>
      <w:bookmarkEnd w:id="1"/>
      <w:r w:rsidRPr="002114A2">
        <w:rPr>
          <w:rFonts w:ascii="Times New Roman" w:hAnsi="Times New Roman" w:cs="Times New Roman"/>
          <w:smallCaps/>
          <w:sz w:val="24"/>
          <w:szCs w:val="24"/>
          <w:lang w:val="en-GB"/>
        </w:rPr>
        <w:t xml:space="preserve"> </w:t>
      </w:r>
    </w:p>
    <w:p w:rsidR="002114A2" w:rsidRPr="002114A2" w:rsidRDefault="002114A2" w:rsidP="002114A2">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Liberalization index (Scale: 0 – 6)</w:t>
      </w:r>
    </w:p>
    <w:tbl>
      <w:tblPr>
        <w:tblStyle w:val="TableGrid"/>
        <w:tblW w:w="0" w:type="auto"/>
        <w:tblInd w:w="38" w:type="dxa"/>
        <w:tblLook w:val="04A0" w:firstRow="1" w:lastRow="0" w:firstColumn="1" w:lastColumn="0" w:noHBand="0" w:noVBand="1"/>
      </w:tblPr>
      <w:tblGrid>
        <w:gridCol w:w="2365"/>
        <w:gridCol w:w="3315"/>
        <w:gridCol w:w="3570"/>
      </w:tblGrid>
      <w:tr w:rsidR="002114A2" w:rsidRPr="002114A2" w:rsidTr="006D6C72">
        <w:tc>
          <w:tcPr>
            <w:tcW w:w="2365"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Country</w:t>
            </w:r>
          </w:p>
        </w:tc>
        <w:tc>
          <w:tcPr>
            <w:tcW w:w="3315"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 xml:space="preserve">Total Economy </w:t>
            </w:r>
          </w:p>
        </w:tc>
        <w:tc>
          <w:tcPr>
            <w:tcW w:w="3570"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 xml:space="preserve">From which: Energy sector </w:t>
            </w:r>
          </w:p>
        </w:tc>
      </w:tr>
      <w:tr w:rsidR="002114A2" w:rsidRPr="002114A2" w:rsidTr="006D6C72">
        <w:tc>
          <w:tcPr>
            <w:tcW w:w="2365" w:type="dxa"/>
          </w:tcPr>
          <w:p w:rsidR="002114A2" w:rsidRPr="002114A2" w:rsidRDefault="002114A2" w:rsidP="00BA19D9">
            <w:pPr>
              <w:rPr>
                <w:rFonts w:ascii="Times New Roman" w:hAnsi="Times New Roman" w:cs="Times New Roman"/>
                <w:sz w:val="24"/>
                <w:szCs w:val="24"/>
                <w:lang w:val="en-GB"/>
              </w:rPr>
            </w:pPr>
            <w:r w:rsidRPr="002114A2">
              <w:rPr>
                <w:rFonts w:ascii="Times New Roman" w:hAnsi="Times New Roman" w:cs="Times New Roman"/>
                <w:sz w:val="24"/>
                <w:szCs w:val="24"/>
                <w:lang w:val="en-GB"/>
              </w:rPr>
              <w:t>OECD average</w:t>
            </w:r>
          </w:p>
        </w:tc>
        <w:tc>
          <w:tcPr>
            <w:tcW w:w="3315"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n.a.</w:t>
            </w:r>
          </w:p>
        </w:tc>
        <w:tc>
          <w:tcPr>
            <w:tcW w:w="3570"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2.69</w:t>
            </w:r>
          </w:p>
        </w:tc>
      </w:tr>
      <w:tr w:rsidR="002114A2" w:rsidRPr="002114A2" w:rsidTr="006D6C72">
        <w:tc>
          <w:tcPr>
            <w:tcW w:w="2365" w:type="dxa"/>
          </w:tcPr>
          <w:p w:rsidR="002114A2" w:rsidRPr="002114A2" w:rsidRDefault="002114A2" w:rsidP="00BA19D9">
            <w:pPr>
              <w:rPr>
                <w:rFonts w:ascii="Times New Roman" w:hAnsi="Times New Roman" w:cs="Times New Roman"/>
                <w:sz w:val="24"/>
                <w:szCs w:val="24"/>
                <w:lang w:val="en-GB"/>
              </w:rPr>
            </w:pPr>
            <w:r w:rsidRPr="002114A2">
              <w:rPr>
                <w:rFonts w:ascii="Times New Roman" w:hAnsi="Times New Roman" w:cs="Times New Roman"/>
                <w:sz w:val="24"/>
                <w:szCs w:val="24"/>
                <w:lang w:val="en-GB"/>
              </w:rPr>
              <w:t>OECD minimum</w:t>
            </w:r>
          </w:p>
        </w:tc>
        <w:tc>
          <w:tcPr>
            <w:tcW w:w="3315"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0.96*</w:t>
            </w:r>
          </w:p>
        </w:tc>
        <w:tc>
          <w:tcPr>
            <w:tcW w:w="3570"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 xml:space="preserve">0.59** </w:t>
            </w:r>
          </w:p>
        </w:tc>
      </w:tr>
      <w:tr w:rsidR="002114A2" w:rsidRPr="002114A2" w:rsidTr="006D6C72">
        <w:tc>
          <w:tcPr>
            <w:tcW w:w="2365" w:type="dxa"/>
          </w:tcPr>
          <w:p w:rsidR="002114A2" w:rsidRPr="002114A2" w:rsidRDefault="002114A2" w:rsidP="00BA19D9">
            <w:pPr>
              <w:rPr>
                <w:rFonts w:ascii="Times New Roman" w:hAnsi="Times New Roman" w:cs="Times New Roman"/>
                <w:sz w:val="24"/>
                <w:szCs w:val="24"/>
                <w:lang w:val="en-GB"/>
              </w:rPr>
            </w:pPr>
            <w:r w:rsidRPr="002114A2">
              <w:rPr>
                <w:rFonts w:ascii="Times New Roman" w:hAnsi="Times New Roman" w:cs="Times New Roman"/>
                <w:sz w:val="24"/>
                <w:szCs w:val="24"/>
                <w:lang w:val="en-GB"/>
              </w:rPr>
              <w:t>HUNGARY</w:t>
            </w:r>
          </w:p>
        </w:tc>
        <w:tc>
          <w:tcPr>
            <w:tcW w:w="3315"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1.54</w:t>
            </w:r>
          </w:p>
        </w:tc>
        <w:tc>
          <w:tcPr>
            <w:tcW w:w="3570"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1.94</w:t>
            </w:r>
          </w:p>
        </w:tc>
      </w:tr>
      <w:tr w:rsidR="002114A2" w:rsidRPr="002114A2" w:rsidTr="006D6C72">
        <w:tc>
          <w:tcPr>
            <w:tcW w:w="2365" w:type="dxa"/>
          </w:tcPr>
          <w:p w:rsidR="002114A2" w:rsidRPr="002114A2" w:rsidRDefault="002114A2" w:rsidP="00BA19D9">
            <w:pPr>
              <w:rPr>
                <w:rFonts w:ascii="Times New Roman" w:hAnsi="Times New Roman" w:cs="Times New Roman"/>
                <w:sz w:val="24"/>
                <w:szCs w:val="24"/>
                <w:lang w:val="en-GB"/>
              </w:rPr>
            </w:pPr>
            <w:r w:rsidRPr="002114A2">
              <w:rPr>
                <w:rFonts w:ascii="Times New Roman" w:hAnsi="Times New Roman" w:cs="Times New Roman"/>
                <w:sz w:val="24"/>
                <w:szCs w:val="24"/>
                <w:lang w:val="en-GB"/>
              </w:rPr>
              <w:t>Czech R.</w:t>
            </w:r>
          </w:p>
        </w:tc>
        <w:tc>
          <w:tcPr>
            <w:tcW w:w="3315"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1.50</w:t>
            </w:r>
          </w:p>
        </w:tc>
        <w:tc>
          <w:tcPr>
            <w:tcW w:w="3570"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2.68</w:t>
            </w:r>
          </w:p>
        </w:tc>
      </w:tr>
      <w:tr w:rsidR="002114A2" w:rsidRPr="002114A2" w:rsidTr="006D6C72">
        <w:tc>
          <w:tcPr>
            <w:tcW w:w="2365" w:type="dxa"/>
          </w:tcPr>
          <w:p w:rsidR="002114A2" w:rsidRPr="002114A2" w:rsidRDefault="002114A2" w:rsidP="00BA19D9">
            <w:pPr>
              <w:rPr>
                <w:rFonts w:ascii="Times New Roman" w:hAnsi="Times New Roman" w:cs="Times New Roman"/>
                <w:sz w:val="24"/>
                <w:szCs w:val="24"/>
                <w:lang w:val="en-GB"/>
              </w:rPr>
            </w:pPr>
            <w:r w:rsidRPr="002114A2">
              <w:rPr>
                <w:rFonts w:ascii="Times New Roman" w:hAnsi="Times New Roman" w:cs="Times New Roman"/>
                <w:sz w:val="24"/>
                <w:szCs w:val="24"/>
                <w:lang w:val="en-GB"/>
              </w:rPr>
              <w:t>Slovakia</w:t>
            </w:r>
          </w:p>
        </w:tc>
        <w:tc>
          <w:tcPr>
            <w:tcW w:w="3315"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1.52</w:t>
            </w:r>
          </w:p>
        </w:tc>
        <w:tc>
          <w:tcPr>
            <w:tcW w:w="3570"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3.02</w:t>
            </w:r>
          </w:p>
        </w:tc>
      </w:tr>
      <w:tr w:rsidR="002114A2" w:rsidRPr="002114A2" w:rsidTr="006D6C72">
        <w:tc>
          <w:tcPr>
            <w:tcW w:w="2365" w:type="dxa"/>
          </w:tcPr>
          <w:p w:rsidR="002114A2" w:rsidRPr="002114A2" w:rsidRDefault="002114A2" w:rsidP="00BA19D9">
            <w:pPr>
              <w:rPr>
                <w:rFonts w:ascii="Times New Roman" w:hAnsi="Times New Roman" w:cs="Times New Roman"/>
                <w:sz w:val="24"/>
                <w:szCs w:val="24"/>
                <w:lang w:val="en-GB"/>
              </w:rPr>
            </w:pPr>
            <w:r w:rsidRPr="002114A2">
              <w:rPr>
                <w:rFonts w:ascii="Times New Roman" w:hAnsi="Times New Roman" w:cs="Times New Roman"/>
                <w:sz w:val="24"/>
                <w:szCs w:val="24"/>
                <w:lang w:val="en-GB"/>
              </w:rPr>
              <w:t>Estonia</w:t>
            </w:r>
          </w:p>
        </w:tc>
        <w:tc>
          <w:tcPr>
            <w:tcW w:w="3315"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1.37</w:t>
            </w:r>
          </w:p>
        </w:tc>
        <w:tc>
          <w:tcPr>
            <w:tcW w:w="3570"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3.28</w:t>
            </w:r>
          </w:p>
        </w:tc>
      </w:tr>
      <w:tr w:rsidR="002114A2" w:rsidRPr="002114A2" w:rsidTr="006D6C72">
        <w:tc>
          <w:tcPr>
            <w:tcW w:w="2365" w:type="dxa"/>
          </w:tcPr>
          <w:p w:rsidR="002114A2" w:rsidRPr="002114A2" w:rsidRDefault="002114A2" w:rsidP="00BA19D9">
            <w:pPr>
              <w:rPr>
                <w:rFonts w:ascii="Times New Roman" w:hAnsi="Times New Roman" w:cs="Times New Roman"/>
                <w:sz w:val="24"/>
                <w:szCs w:val="24"/>
                <w:lang w:val="en-GB"/>
              </w:rPr>
            </w:pPr>
            <w:r w:rsidRPr="002114A2">
              <w:rPr>
                <w:rFonts w:ascii="Times New Roman" w:hAnsi="Times New Roman" w:cs="Times New Roman"/>
                <w:sz w:val="24"/>
                <w:szCs w:val="24"/>
                <w:lang w:val="en-GB"/>
              </w:rPr>
              <w:t>Poland</w:t>
            </w:r>
          </w:p>
        </w:tc>
        <w:tc>
          <w:tcPr>
            <w:tcW w:w="3315"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2.04</w:t>
            </w:r>
          </w:p>
        </w:tc>
        <w:tc>
          <w:tcPr>
            <w:tcW w:w="3570" w:type="dxa"/>
          </w:tcPr>
          <w:p w:rsidR="002114A2" w:rsidRPr="002114A2" w:rsidRDefault="002114A2" w:rsidP="00BA19D9">
            <w:pPr>
              <w:jc w:val="center"/>
              <w:rPr>
                <w:rFonts w:ascii="Times New Roman" w:hAnsi="Times New Roman" w:cs="Times New Roman"/>
                <w:sz w:val="24"/>
                <w:szCs w:val="24"/>
                <w:lang w:val="en-GB"/>
              </w:rPr>
            </w:pPr>
            <w:r w:rsidRPr="002114A2">
              <w:rPr>
                <w:rFonts w:ascii="Times New Roman" w:hAnsi="Times New Roman" w:cs="Times New Roman"/>
                <w:sz w:val="24"/>
                <w:szCs w:val="24"/>
                <w:lang w:val="en-GB"/>
              </w:rPr>
              <w:t>3.73</w:t>
            </w:r>
          </w:p>
        </w:tc>
      </w:tr>
    </w:tbl>
    <w:p w:rsidR="002114A2" w:rsidRPr="002114A2" w:rsidRDefault="002114A2" w:rsidP="002114A2">
      <w:pPr>
        <w:rPr>
          <w:rFonts w:ascii="Times New Roman" w:hAnsi="Times New Roman" w:cs="Times New Roman"/>
          <w:sz w:val="24"/>
          <w:szCs w:val="24"/>
          <w:lang w:val="en-GB"/>
        </w:rPr>
      </w:pPr>
    </w:p>
    <w:p w:rsidR="002114A2" w:rsidRPr="001B6ECB" w:rsidRDefault="002114A2" w:rsidP="002114A2">
      <w:pPr>
        <w:rPr>
          <w:rFonts w:ascii="Times New Roman" w:hAnsi="Times New Roman" w:cs="Times New Roman"/>
          <w:sz w:val="20"/>
          <w:szCs w:val="20"/>
          <w:lang w:val="en-GB"/>
        </w:rPr>
      </w:pPr>
      <w:r w:rsidRPr="001B6ECB">
        <w:rPr>
          <w:rFonts w:ascii="Times New Roman" w:hAnsi="Times New Roman" w:cs="Times New Roman"/>
          <w:b/>
          <w:sz w:val="20"/>
          <w:szCs w:val="20"/>
          <w:lang w:val="en-GB"/>
        </w:rPr>
        <w:t xml:space="preserve">Note: </w:t>
      </w:r>
      <w:r w:rsidRPr="001B6ECB">
        <w:rPr>
          <w:rFonts w:ascii="Times New Roman" w:hAnsi="Times New Roman" w:cs="Times New Roman"/>
          <w:sz w:val="20"/>
          <w:szCs w:val="20"/>
          <w:lang w:val="en-GB"/>
        </w:rPr>
        <w:t>0 = complete liberalization;  6 = complete state regulation            * The Netherlands                       ** Great Britain</w:t>
      </w:r>
    </w:p>
    <w:p w:rsidR="002114A2" w:rsidRPr="002114A2" w:rsidRDefault="002114A2" w:rsidP="002114A2">
      <w:pPr>
        <w:rPr>
          <w:rFonts w:ascii="Times New Roman" w:hAnsi="Times New Roman" w:cs="Times New Roman"/>
          <w:sz w:val="24"/>
          <w:szCs w:val="24"/>
          <w:lang w:val="en-GB"/>
        </w:rPr>
      </w:pPr>
      <w:r w:rsidRPr="001B6ECB">
        <w:rPr>
          <w:rFonts w:ascii="Times New Roman" w:hAnsi="Times New Roman" w:cs="Times New Roman"/>
          <w:b/>
          <w:sz w:val="20"/>
          <w:szCs w:val="20"/>
          <w:lang w:val="en-GB"/>
        </w:rPr>
        <w:t xml:space="preserve">Source: </w:t>
      </w:r>
      <w:r w:rsidRPr="001B6ECB">
        <w:rPr>
          <w:rFonts w:ascii="Times New Roman" w:hAnsi="Times New Roman" w:cs="Times New Roman"/>
          <w:sz w:val="20"/>
          <w:szCs w:val="20"/>
          <w:lang w:val="en-GB"/>
        </w:rPr>
        <w:t xml:space="preserve">OECD Product Market Regulation Database, </w:t>
      </w:r>
      <w:hyperlink r:id="rId9" w:history="1">
        <w:r w:rsidRPr="001B6ECB">
          <w:rPr>
            <w:rStyle w:val="Hyperlink"/>
            <w:rFonts w:ascii="Times New Roman" w:hAnsi="Times New Roman" w:cs="Times New Roman"/>
            <w:sz w:val="20"/>
            <w:szCs w:val="20"/>
            <w:lang w:val="en-GB"/>
          </w:rPr>
          <w:t>http://www.oecd-ilibrary.org/economics/data/oecd-product-market-regulation-statistics_pmr-data-en</w:t>
        </w:r>
      </w:hyperlink>
      <w:r w:rsidRPr="002114A2">
        <w:rPr>
          <w:rFonts w:ascii="Times New Roman" w:hAnsi="Times New Roman" w:cs="Times New Roman"/>
          <w:sz w:val="24"/>
          <w:szCs w:val="24"/>
          <w:lang w:val="en-GB"/>
        </w:rPr>
        <w:t xml:space="preserve"> </w:t>
      </w:r>
    </w:p>
    <w:p w:rsidR="00BF4B53" w:rsidRDefault="00BF4B53" w:rsidP="002114A2">
      <w:pPr>
        <w:jc w:val="both"/>
        <w:rPr>
          <w:rFonts w:ascii="Times New Roman" w:hAnsi="Times New Roman" w:cs="Times New Roman"/>
          <w:sz w:val="24"/>
          <w:szCs w:val="24"/>
          <w:lang w:val="en-GB"/>
        </w:rPr>
      </w:pPr>
    </w:p>
    <w:p w:rsidR="002114A2" w:rsidRPr="002114A2" w:rsidRDefault="00BF4B53" w:rsidP="00716E22">
      <w:pPr>
        <w:spacing w:line="360" w:lineRule="auto"/>
        <w:jc w:val="both"/>
        <w:rPr>
          <w:rFonts w:ascii="Times New Roman" w:hAnsi="Times New Roman" w:cs="Times New Roman"/>
          <w:sz w:val="24"/>
          <w:szCs w:val="24"/>
          <w:lang w:val="en-GB"/>
        </w:rPr>
      </w:pPr>
      <w:r w:rsidRPr="002114A2">
        <w:rPr>
          <w:rFonts w:ascii="Times New Roman" w:hAnsi="Times New Roman" w:cs="Times New Roman"/>
          <w:sz w:val="24"/>
          <w:szCs w:val="24"/>
          <w:lang w:val="en-GB"/>
        </w:rPr>
        <w:t xml:space="preserve">To the great surprise of the outside world, the elections in 2010 brought a complete reversal in the </w:t>
      </w:r>
      <w:r>
        <w:rPr>
          <w:rFonts w:ascii="Times New Roman" w:hAnsi="Times New Roman" w:cs="Times New Roman"/>
          <w:sz w:val="24"/>
          <w:szCs w:val="24"/>
          <w:lang w:val="en-GB"/>
        </w:rPr>
        <w:t xml:space="preserve">political and </w:t>
      </w:r>
      <w:r w:rsidRPr="002114A2">
        <w:rPr>
          <w:rFonts w:ascii="Times New Roman" w:hAnsi="Times New Roman" w:cs="Times New Roman"/>
          <w:sz w:val="24"/>
          <w:szCs w:val="24"/>
          <w:lang w:val="en-GB"/>
        </w:rPr>
        <w:t xml:space="preserve">economic reform process in general, Hungary’s commitment to privatization and the import of FDI in particular.  </w:t>
      </w:r>
      <w:r w:rsidR="00F50FB8">
        <w:rPr>
          <w:rFonts w:ascii="Times New Roman" w:hAnsi="Times New Roman" w:cs="Times New Roman"/>
          <w:sz w:val="24"/>
          <w:szCs w:val="24"/>
          <w:lang w:val="en-GB"/>
        </w:rPr>
        <w:t>After the landslide victory of the Fidesz party</w:t>
      </w:r>
      <w:r w:rsidR="00F50FB8">
        <w:rPr>
          <w:rStyle w:val="FootnoteReference"/>
          <w:rFonts w:ascii="Times New Roman" w:hAnsi="Times New Roman" w:cs="Times New Roman"/>
          <w:sz w:val="24"/>
          <w:szCs w:val="24"/>
          <w:lang w:val="en-GB"/>
        </w:rPr>
        <w:footnoteReference w:id="4"/>
      </w:r>
      <w:r w:rsidR="00F50FB8">
        <w:rPr>
          <w:rFonts w:ascii="Times New Roman" w:hAnsi="Times New Roman" w:cs="Times New Roman"/>
          <w:sz w:val="24"/>
          <w:szCs w:val="24"/>
          <w:lang w:val="en-GB"/>
        </w:rPr>
        <w:t xml:space="preserve">, politics has recaptured the commanding heights of the economy, economic rationality has been relegated to a secondary position.  </w:t>
      </w:r>
      <w:r w:rsidRPr="002114A2">
        <w:rPr>
          <w:rFonts w:ascii="Times New Roman" w:hAnsi="Times New Roman" w:cs="Times New Roman"/>
          <w:sz w:val="24"/>
          <w:szCs w:val="24"/>
          <w:lang w:val="en-GB"/>
        </w:rPr>
        <w:t>Kornai (2015) was right</w:t>
      </w:r>
      <w:r>
        <w:rPr>
          <w:rFonts w:ascii="Times New Roman" w:hAnsi="Times New Roman" w:cs="Times New Roman"/>
          <w:sz w:val="24"/>
          <w:szCs w:val="24"/>
          <w:lang w:val="en-GB"/>
        </w:rPr>
        <w:t xml:space="preserve"> </w:t>
      </w:r>
      <w:r w:rsidRPr="002114A2">
        <w:rPr>
          <w:rFonts w:ascii="Times New Roman" w:hAnsi="Times New Roman" w:cs="Times New Roman"/>
          <w:sz w:val="24"/>
          <w:szCs w:val="24"/>
          <w:lang w:val="en-GB"/>
        </w:rPr>
        <w:t xml:space="preserve">calling this a </w:t>
      </w:r>
      <w:r>
        <w:rPr>
          <w:rFonts w:ascii="Times New Roman" w:hAnsi="Times New Roman" w:cs="Times New Roman"/>
          <w:sz w:val="24"/>
          <w:szCs w:val="24"/>
          <w:lang w:val="en-GB"/>
        </w:rPr>
        <w:t xml:space="preserve">dramatic </w:t>
      </w:r>
      <w:r w:rsidRPr="002114A2">
        <w:rPr>
          <w:rFonts w:ascii="Times New Roman" w:hAnsi="Times New Roman" w:cs="Times New Roman"/>
          <w:sz w:val="24"/>
          <w:szCs w:val="24"/>
          <w:lang w:val="en-GB"/>
        </w:rPr>
        <w:t xml:space="preserve">U-turn.  </w:t>
      </w:r>
      <w:r>
        <w:rPr>
          <w:rFonts w:ascii="Times New Roman" w:hAnsi="Times New Roman" w:cs="Times New Roman"/>
          <w:sz w:val="24"/>
          <w:szCs w:val="24"/>
          <w:lang w:val="en-GB"/>
        </w:rPr>
        <w:t>Within a few months, a</w:t>
      </w:r>
      <w:r w:rsidRPr="002114A2">
        <w:rPr>
          <w:rFonts w:ascii="Times New Roman" w:hAnsi="Times New Roman" w:cs="Times New Roman"/>
          <w:sz w:val="24"/>
          <w:szCs w:val="24"/>
          <w:lang w:val="en-GB"/>
        </w:rPr>
        <w:t xml:space="preserve"> new constitution and </w:t>
      </w:r>
      <w:r>
        <w:rPr>
          <w:rFonts w:ascii="Times New Roman" w:hAnsi="Times New Roman" w:cs="Times New Roman"/>
          <w:sz w:val="24"/>
          <w:szCs w:val="24"/>
          <w:lang w:val="en-GB"/>
        </w:rPr>
        <w:t xml:space="preserve">a </w:t>
      </w:r>
      <w:r w:rsidRPr="002114A2">
        <w:rPr>
          <w:rFonts w:ascii="Times New Roman" w:hAnsi="Times New Roman" w:cs="Times New Roman"/>
          <w:sz w:val="24"/>
          <w:szCs w:val="24"/>
          <w:lang w:val="en-GB"/>
        </w:rPr>
        <w:t>large number of new laws were approved by Parliament</w:t>
      </w:r>
      <w:r>
        <w:rPr>
          <w:rFonts w:ascii="Times New Roman" w:hAnsi="Times New Roman" w:cs="Times New Roman"/>
          <w:sz w:val="24"/>
          <w:szCs w:val="24"/>
          <w:lang w:val="en-GB"/>
        </w:rPr>
        <w:t xml:space="preserve"> in order to remove systematically the </w:t>
      </w:r>
      <w:r w:rsidR="00F50FB8">
        <w:rPr>
          <w:rFonts w:ascii="Times New Roman" w:hAnsi="Times New Roman" w:cs="Times New Roman"/>
          <w:sz w:val="24"/>
          <w:szCs w:val="24"/>
          <w:lang w:val="en-GB"/>
        </w:rPr>
        <w:t xml:space="preserve">classical </w:t>
      </w:r>
      <w:r>
        <w:rPr>
          <w:rFonts w:ascii="Times New Roman" w:hAnsi="Times New Roman" w:cs="Times New Roman"/>
          <w:sz w:val="24"/>
          <w:szCs w:val="24"/>
          <w:lang w:val="en-GB"/>
        </w:rPr>
        <w:t>checks and balances</w:t>
      </w:r>
      <w:r w:rsidR="00F50FB8">
        <w:rPr>
          <w:rFonts w:ascii="Times New Roman" w:hAnsi="Times New Roman" w:cs="Times New Roman"/>
          <w:sz w:val="24"/>
          <w:szCs w:val="24"/>
          <w:lang w:val="en-GB"/>
        </w:rPr>
        <w:t xml:space="preserve"> of representative democracies</w:t>
      </w:r>
      <w:r>
        <w:rPr>
          <w:rFonts w:ascii="Times New Roman" w:hAnsi="Times New Roman" w:cs="Times New Roman"/>
          <w:sz w:val="24"/>
          <w:szCs w:val="24"/>
          <w:lang w:val="en-GB"/>
        </w:rPr>
        <w:t>.</w:t>
      </w:r>
      <w:r w:rsidR="00CD6E0C">
        <w:rPr>
          <w:rStyle w:val="FootnoteReference"/>
          <w:rFonts w:ascii="Times New Roman" w:hAnsi="Times New Roman" w:cs="Times New Roman"/>
          <w:sz w:val="24"/>
          <w:szCs w:val="24"/>
          <w:lang w:val="en-GB"/>
        </w:rPr>
        <w:footnoteReference w:id="5"/>
      </w:r>
      <w:r>
        <w:rPr>
          <w:rFonts w:ascii="Times New Roman" w:hAnsi="Times New Roman" w:cs="Times New Roman"/>
          <w:sz w:val="24"/>
          <w:szCs w:val="24"/>
          <w:lang w:val="en-GB"/>
        </w:rPr>
        <w:t xml:space="preserve">   Most of the new laws </w:t>
      </w:r>
      <w:r w:rsidRPr="002114A2">
        <w:rPr>
          <w:rFonts w:ascii="Times New Roman" w:hAnsi="Times New Roman" w:cs="Times New Roman"/>
          <w:sz w:val="24"/>
          <w:szCs w:val="24"/>
          <w:lang w:val="en-GB"/>
        </w:rPr>
        <w:t xml:space="preserve">pointed towards more administrative centralization and the creation of an unlimited manoeuvring space for the </w:t>
      </w:r>
      <w:r w:rsidR="00716E22">
        <w:rPr>
          <w:rFonts w:ascii="Times New Roman" w:hAnsi="Times New Roman" w:cs="Times New Roman"/>
          <w:sz w:val="24"/>
          <w:szCs w:val="24"/>
          <w:lang w:val="en-GB"/>
        </w:rPr>
        <w:t xml:space="preserve">state authorities – </w:t>
      </w:r>
      <w:r w:rsidR="00716E22">
        <w:rPr>
          <w:rFonts w:ascii="Times New Roman" w:hAnsi="Times New Roman" w:cs="Times New Roman"/>
          <w:sz w:val="24"/>
          <w:szCs w:val="24"/>
          <w:lang w:val="en-GB"/>
        </w:rPr>
        <w:lastRenderedPageBreak/>
        <w:t>including the right to hide publicly relevant information.</w:t>
      </w:r>
      <w:r w:rsidRPr="002114A2">
        <w:rPr>
          <w:rFonts w:ascii="Times New Roman" w:hAnsi="Times New Roman" w:cs="Times New Roman"/>
          <w:sz w:val="24"/>
          <w:szCs w:val="24"/>
          <w:lang w:val="en-GB"/>
        </w:rPr>
        <w:t xml:space="preserve">  </w:t>
      </w:r>
      <w:r w:rsidRPr="00BA48F9">
        <w:rPr>
          <w:rFonts w:ascii="Times New Roman" w:hAnsi="Times New Roman" w:cs="Times New Roman"/>
          <w:i/>
          <w:sz w:val="24"/>
          <w:szCs w:val="24"/>
          <w:lang w:val="en-GB"/>
        </w:rPr>
        <w:t>Inter alia</w:t>
      </w:r>
      <w:r>
        <w:rPr>
          <w:rFonts w:ascii="Times New Roman" w:hAnsi="Times New Roman" w:cs="Times New Roman"/>
          <w:sz w:val="24"/>
          <w:szCs w:val="24"/>
          <w:lang w:val="en-GB"/>
        </w:rPr>
        <w:t>, t</w:t>
      </w:r>
      <w:r w:rsidRPr="001B6ECB">
        <w:rPr>
          <w:rFonts w:ascii="Times New Roman" w:hAnsi="Times New Roman" w:cs="Times New Roman"/>
          <w:sz w:val="24"/>
          <w:szCs w:val="24"/>
          <w:lang w:val="en-US"/>
        </w:rPr>
        <w:t xml:space="preserve">he concept of “private ownership” was </w:t>
      </w:r>
      <w:r w:rsidR="00F50FB8">
        <w:rPr>
          <w:rFonts w:ascii="Times New Roman" w:hAnsi="Times New Roman" w:cs="Times New Roman"/>
          <w:sz w:val="24"/>
          <w:szCs w:val="24"/>
          <w:lang w:val="en-US"/>
        </w:rPr>
        <w:t xml:space="preserve">also </w:t>
      </w:r>
      <w:r w:rsidRPr="001B6ECB">
        <w:rPr>
          <w:rFonts w:ascii="Times New Roman" w:hAnsi="Times New Roman" w:cs="Times New Roman"/>
          <w:sz w:val="24"/>
          <w:szCs w:val="24"/>
          <w:lang w:val="en-US"/>
        </w:rPr>
        <w:t>removed from the constitution</w:t>
      </w:r>
      <w:r>
        <w:rPr>
          <w:rFonts w:ascii="Times New Roman" w:hAnsi="Times New Roman" w:cs="Times New Roman"/>
          <w:sz w:val="24"/>
          <w:szCs w:val="24"/>
          <w:lang w:val="en-US"/>
        </w:rPr>
        <w:t xml:space="preserve"> without any public explanation, let alone discussion</w:t>
      </w:r>
      <w:r w:rsidRPr="001B6ECB">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1B6ECB">
        <w:rPr>
          <w:rFonts w:ascii="Times New Roman" w:hAnsi="Times New Roman" w:cs="Times New Roman"/>
          <w:sz w:val="24"/>
          <w:szCs w:val="24"/>
          <w:lang w:val="en-US"/>
        </w:rPr>
        <w:t xml:space="preserve">irtually all acts, affecting the scope of state </w:t>
      </w:r>
      <w:r w:rsidR="00716E22">
        <w:rPr>
          <w:rFonts w:ascii="Times New Roman" w:hAnsi="Times New Roman" w:cs="Times New Roman"/>
          <w:sz w:val="24"/>
          <w:szCs w:val="24"/>
          <w:lang w:val="en-US"/>
        </w:rPr>
        <w:t xml:space="preserve">power and </w:t>
      </w:r>
      <w:r w:rsidRPr="001B6ECB">
        <w:rPr>
          <w:rFonts w:ascii="Times New Roman" w:hAnsi="Times New Roman" w:cs="Times New Roman"/>
          <w:sz w:val="24"/>
          <w:szCs w:val="24"/>
          <w:lang w:val="en-US"/>
        </w:rPr>
        <w:t xml:space="preserve">ownership were converted to </w:t>
      </w:r>
      <w:r>
        <w:rPr>
          <w:rFonts w:ascii="Times New Roman" w:hAnsi="Times New Roman" w:cs="Times New Roman"/>
          <w:sz w:val="24"/>
          <w:szCs w:val="24"/>
          <w:lang w:val="en-US"/>
        </w:rPr>
        <w:t xml:space="preserve">“cardinal” </w:t>
      </w:r>
      <w:r w:rsidRPr="001B6ECB">
        <w:rPr>
          <w:rFonts w:ascii="Times New Roman" w:hAnsi="Times New Roman" w:cs="Times New Roman"/>
          <w:sz w:val="24"/>
          <w:szCs w:val="24"/>
          <w:lang w:val="en-US"/>
        </w:rPr>
        <w:t>laws, requiring a 2/3 majority for changing them.</w:t>
      </w:r>
      <w:r w:rsidR="00011525">
        <w:rPr>
          <w:rFonts w:ascii="Times New Roman" w:hAnsi="Times New Roman" w:cs="Times New Roman"/>
          <w:sz w:val="24"/>
          <w:szCs w:val="24"/>
          <w:lang w:val="en-US"/>
        </w:rPr>
        <w:t xml:space="preserve">  It was mostly symbolic, but nonetheless noteworthy that the word “Republic” was removed from the full, official name of Hungary.</w:t>
      </w:r>
      <w:r w:rsidR="00011525">
        <w:rPr>
          <w:rStyle w:val="FootnoteReference"/>
          <w:rFonts w:ascii="Times New Roman" w:hAnsi="Times New Roman" w:cs="Times New Roman"/>
          <w:sz w:val="24"/>
          <w:szCs w:val="24"/>
          <w:lang w:val="en-US"/>
        </w:rPr>
        <w:footnoteReference w:id="6"/>
      </w:r>
      <w:r w:rsidR="00011525">
        <w:rPr>
          <w:rFonts w:ascii="Times New Roman" w:hAnsi="Times New Roman" w:cs="Times New Roman"/>
          <w:sz w:val="24"/>
          <w:szCs w:val="24"/>
          <w:lang w:val="en-US"/>
        </w:rPr>
        <w:t xml:space="preserve">  </w:t>
      </w:r>
    </w:p>
    <w:p w:rsidR="002114A2" w:rsidRPr="00265113" w:rsidRDefault="002114A2" w:rsidP="002114A2">
      <w:pPr>
        <w:jc w:val="both"/>
        <w:rPr>
          <w:rFonts w:ascii="Times New Roman" w:hAnsi="Times New Roman" w:cs="Times New Roman"/>
          <w:smallCaps/>
          <w:sz w:val="24"/>
          <w:szCs w:val="24"/>
          <w:lang w:val="en-GB"/>
        </w:rPr>
      </w:pPr>
      <w:r w:rsidRPr="00265113">
        <w:rPr>
          <w:rFonts w:ascii="Times New Roman" w:hAnsi="Times New Roman" w:cs="Times New Roman"/>
          <w:b/>
          <w:smallCaps/>
          <w:sz w:val="24"/>
          <w:szCs w:val="24"/>
          <w:lang w:val="en-GB"/>
        </w:rPr>
        <w:t>Figure 2</w:t>
      </w:r>
      <w:r w:rsidRPr="00265113">
        <w:rPr>
          <w:rFonts w:ascii="Times New Roman" w:hAnsi="Times New Roman" w:cs="Times New Roman"/>
          <w:smallCaps/>
          <w:sz w:val="24"/>
          <w:szCs w:val="24"/>
          <w:lang w:val="en-GB"/>
        </w:rPr>
        <w:t>: Economic globalization index, 2010</w:t>
      </w:r>
    </w:p>
    <w:p w:rsidR="002114A2" w:rsidRPr="002114A2" w:rsidRDefault="002114A2" w:rsidP="002114A2">
      <w:pPr>
        <w:jc w:val="both"/>
        <w:rPr>
          <w:rFonts w:ascii="Times New Roman" w:hAnsi="Times New Roman" w:cs="Times New Roman"/>
          <w:sz w:val="24"/>
          <w:szCs w:val="24"/>
          <w:lang w:val="en-GB"/>
        </w:rPr>
      </w:pPr>
      <w:r w:rsidRPr="002114A2">
        <w:rPr>
          <w:rFonts w:ascii="Times New Roman" w:hAnsi="Times New Roman" w:cs="Times New Roman"/>
          <w:noProof/>
          <w:sz w:val="24"/>
          <w:szCs w:val="24"/>
          <w:lang w:val="en-US"/>
        </w:rPr>
        <w:drawing>
          <wp:inline distT="0" distB="0" distL="0" distR="0">
            <wp:extent cx="5760720" cy="3863340"/>
            <wp:effectExtent l="0" t="0" r="11430" b="2286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14A2" w:rsidRPr="006D6C72" w:rsidRDefault="002114A2" w:rsidP="002114A2">
      <w:pPr>
        <w:jc w:val="both"/>
        <w:rPr>
          <w:rFonts w:ascii="Times New Roman" w:hAnsi="Times New Roman" w:cs="Times New Roman"/>
          <w:sz w:val="20"/>
          <w:szCs w:val="20"/>
          <w:lang w:val="en-GB"/>
        </w:rPr>
      </w:pPr>
      <w:r w:rsidRPr="006D6C72">
        <w:rPr>
          <w:rFonts w:ascii="Times New Roman" w:hAnsi="Times New Roman" w:cs="Times New Roman"/>
          <w:b/>
          <w:sz w:val="20"/>
          <w:szCs w:val="20"/>
          <w:lang w:val="en-GB"/>
        </w:rPr>
        <w:t>Note:</w:t>
      </w:r>
      <w:r w:rsidRPr="006D6C72">
        <w:rPr>
          <w:rFonts w:ascii="Times New Roman" w:hAnsi="Times New Roman" w:cs="Times New Roman"/>
          <w:sz w:val="20"/>
          <w:szCs w:val="20"/>
          <w:lang w:val="en-GB"/>
        </w:rPr>
        <w:t xml:space="preserve"> The KOF Index of Globalization, developed by Axel Dreher at the Zürich Technical University (ETH) measures the three main dimensions of globalization: (i) economic; (ii) social; and (iii) political.  In addition to three indices measuring these dimensions, they calculated an overall index of globalization, as reproduced above.  </w:t>
      </w:r>
    </w:p>
    <w:p w:rsidR="002114A2" w:rsidRPr="00BA48F9" w:rsidRDefault="002114A2" w:rsidP="002114A2">
      <w:pPr>
        <w:jc w:val="both"/>
        <w:rPr>
          <w:rFonts w:ascii="Times New Roman" w:hAnsi="Times New Roman" w:cs="Times New Roman"/>
          <w:sz w:val="20"/>
          <w:szCs w:val="20"/>
          <w:lang w:val="fr-FR"/>
        </w:rPr>
      </w:pPr>
      <w:r w:rsidRPr="00BA48F9">
        <w:rPr>
          <w:rFonts w:ascii="Times New Roman" w:hAnsi="Times New Roman" w:cs="Times New Roman"/>
          <w:b/>
          <w:sz w:val="20"/>
          <w:szCs w:val="20"/>
          <w:lang w:val="fr-FR"/>
        </w:rPr>
        <w:t>Source</w:t>
      </w:r>
      <w:r w:rsidRPr="00BA48F9">
        <w:rPr>
          <w:rFonts w:ascii="Times New Roman" w:hAnsi="Times New Roman" w:cs="Times New Roman"/>
          <w:sz w:val="20"/>
          <w:szCs w:val="20"/>
          <w:lang w:val="fr-FR"/>
        </w:rPr>
        <w:t xml:space="preserve">: </w:t>
      </w:r>
      <w:hyperlink r:id="rId11" w:history="1">
        <w:r w:rsidRPr="00BA48F9">
          <w:rPr>
            <w:rStyle w:val="Hyperlink"/>
            <w:rFonts w:ascii="Times New Roman" w:hAnsi="Times New Roman" w:cs="Times New Roman"/>
            <w:sz w:val="20"/>
            <w:szCs w:val="20"/>
            <w:lang w:val="fr-FR"/>
          </w:rPr>
          <w:t>http://globalization.kof.ethz.ch/</w:t>
        </w:r>
      </w:hyperlink>
      <w:r w:rsidRPr="00BA48F9">
        <w:rPr>
          <w:rFonts w:ascii="Times New Roman" w:hAnsi="Times New Roman" w:cs="Times New Roman"/>
          <w:sz w:val="20"/>
          <w:szCs w:val="20"/>
          <w:lang w:val="fr-FR"/>
        </w:rPr>
        <w:t xml:space="preserve"> </w:t>
      </w:r>
    </w:p>
    <w:p w:rsidR="00BF4B53" w:rsidRPr="00F50FB8" w:rsidRDefault="00BF4B53" w:rsidP="002114A2">
      <w:pPr>
        <w:spacing w:line="360" w:lineRule="auto"/>
        <w:jc w:val="both"/>
        <w:rPr>
          <w:rFonts w:ascii="Times New Roman" w:hAnsi="Times New Roman" w:cs="Times New Roman"/>
          <w:sz w:val="24"/>
          <w:szCs w:val="24"/>
          <w:lang w:val="fr-FR"/>
        </w:rPr>
      </w:pPr>
    </w:p>
    <w:p w:rsidR="002114A2" w:rsidRDefault="002114A2" w:rsidP="002114A2">
      <w:pPr>
        <w:spacing w:line="360" w:lineRule="auto"/>
        <w:jc w:val="both"/>
        <w:rPr>
          <w:rFonts w:ascii="Times New Roman" w:hAnsi="Times New Roman" w:cs="Times New Roman"/>
          <w:sz w:val="24"/>
          <w:szCs w:val="24"/>
          <w:lang w:val="en-GB"/>
        </w:rPr>
      </w:pPr>
      <w:r w:rsidRPr="002114A2">
        <w:rPr>
          <w:rFonts w:ascii="Times New Roman" w:hAnsi="Times New Roman" w:cs="Times New Roman"/>
          <w:sz w:val="24"/>
          <w:szCs w:val="24"/>
          <w:lang w:val="en-GB"/>
        </w:rPr>
        <w:t xml:space="preserve">There is </w:t>
      </w:r>
      <w:r w:rsidR="006D6C72">
        <w:rPr>
          <w:rFonts w:ascii="Times New Roman" w:hAnsi="Times New Roman" w:cs="Times New Roman"/>
          <w:sz w:val="24"/>
          <w:szCs w:val="24"/>
          <w:lang w:val="en-GB"/>
        </w:rPr>
        <w:t xml:space="preserve">one </w:t>
      </w:r>
      <w:r w:rsidR="00BA48F9">
        <w:rPr>
          <w:rFonts w:ascii="Times New Roman" w:hAnsi="Times New Roman" w:cs="Times New Roman"/>
          <w:sz w:val="24"/>
          <w:szCs w:val="24"/>
          <w:lang w:val="en-GB"/>
        </w:rPr>
        <w:t xml:space="preserve">additional </w:t>
      </w:r>
      <w:r w:rsidRPr="002114A2">
        <w:rPr>
          <w:rFonts w:ascii="Times New Roman" w:hAnsi="Times New Roman" w:cs="Times New Roman"/>
          <w:sz w:val="24"/>
          <w:szCs w:val="24"/>
          <w:lang w:val="en-GB"/>
        </w:rPr>
        <w:t xml:space="preserve">remark, which needs to be made at the outset.  As from 2010, Prime Minister Viktor Orbán has been ruling his party and the country as an autocratic ruler who is not subject to any institutional limitations.  Therefore, throughout this paper his name, his </w:t>
      </w:r>
      <w:r w:rsidRPr="002114A2">
        <w:rPr>
          <w:rFonts w:ascii="Times New Roman" w:hAnsi="Times New Roman" w:cs="Times New Roman"/>
          <w:sz w:val="24"/>
          <w:szCs w:val="24"/>
          <w:lang w:val="en-GB"/>
        </w:rPr>
        <w:lastRenderedPageBreak/>
        <w:t xml:space="preserve">party and his government are used interchangeably.  Every decision made by Parliament, the President of the country or the government are Mr. Orbán’s personal decisions, even if they don’t look that way at first sight.  </w:t>
      </w:r>
      <w:r w:rsidR="00A979B1">
        <w:rPr>
          <w:rFonts w:ascii="Times New Roman" w:hAnsi="Times New Roman" w:cs="Times New Roman"/>
          <w:sz w:val="24"/>
          <w:szCs w:val="24"/>
          <w:lang w:val="en-GB"/>
        </w:rPr>
        <w:t xml:space="preserve"> Like President Putin in Russia, Mr. Orbán </w:t>
      </w:r>
      <w:r w:rsidR="00A979B1" w:rsidRPr="00A979B1">
        <w:rPr>
          <w:rFonts w:ascii="Times New Roman" w:hAnsi="Times New Roman" w:cs="Times New Roman"/>
          <w:sz w:val="24"/>
          <w:szCs w:val="24"/>
          <w:lang w:val="en-GB"/>
        </w:rPr>
        <w:t xml:space="preserve">re-established </w:t>
      </w:r>
      <w:r w:rsidR="00A979B1">
        <w:rPr>
          <w:rFonts w:ascii="Times New Roman" w:hAnsi="Times New Roman" w:cs="Times New Roman"/>
          <w:sz w:val="24"/>
          <w:szCs w:val="24"/>
          <w:lang w:val="en-GB"/>
        </w:rPr>
        <w:t xml:space="preserve">the </w:t>
      </w:r>
      <w:r w:rsidR="00A979B1" w:rsidRPr="00A979B1">
        <w:rPr>
          <w:rFonts w:ascii="Times New Roman" w:hAnsi="Times New Roman" w:cs="Times New Roman"/>
          <w:sz w:val="24"/>
          <w:szCs w:val="24"/>
          <w:lang w:val="en-GB"/>
        </w:rPr>
        <w:t xml:space="preserve">primacy of political power over the economy.   </w:t>
      </w:r>
      <w:r w:rsidR="00CB6563">
        <w:rPr>
          <w:rFonts w:ascii="Times New Roman" w:hAnsi="Times New Roman" w:cs="Times New Roman"/>
          <w:sz w:val="24"/>
          <w:szCs w:val="24"/>
          <w:lang w:val="en-GB"/>
        </w:rPr>
        <w:t>In many ways, Hungary returned to the Socialist-type political power distribution model in which a charismatic leader dominates over the party-state apparatus and the professional managerial class (Mihalyi 1993).</w:t>
      </w:r>
      <w:r w:rsidRPr="002114A2">
        <w:rPr>
          <w:rFonts w:ascii="Times New Roman" w:hAnsi="Times New Roman" w:cs="Times New Roman"/>
          <w:sz w:val="24"/>
          <w:szCs w:val="24"/>
          <w:lang w:val="en-GB"/>
        </w:rPr>
        <w:t xml:space="preserve"> </w:t>
      </w:r>
    </w:p>
    <w:p w:rsidR="00C54CF8" w:rsidRDefault="00101237" w:rsidP="00D54844">
      <w:pPr>
        <w:spacing w:line="360" w:lineRule="auto"/>
        <w:jc w:val="both"/>
        <w:rPr>
          <w:rFonts w:ascii="Times New Roman" w:hAnsi="Times New Roman" w:cs="Times New Roman"/>
          <w:sz w:val="24"/>
          <w:szCs w:val="24"/>
          <w:lang w:val="en-US"/>
        </w:rPr>
      </w:pPr>
      <w:r w:rsidRPr="001B6ECB">
        <w:rPr>
          <w:rFonts w:ascii="Times New Roman" w:hAnsi="Times New Roman" w:cs="Times New Roman"/>
          <w:i/>
          <w:sz w:val="24"/>
          <w:szCs w:val="24"/>
          <w:lang w:val="en-US"/>
        </w:rPr>
        <w:t xml:space="preserve">The broader picture.  </w:t>
      </w:r>
      <w:r w:rsidRPr="001B6ECB">
        <w:rPr>
          <w:rFonts w:ascii="Times New Roman" w:hAnsi="Times New Roman" w:cs="Times New Roman"/>
          <w:sz w:val="24"/>
          <w:szCs w:val="24"/>
          <w:lang w:val="en-US"/>
        </w:rPr>
        <w:t>The constitutional 2/3 majority between 2010-2015</w:t>
      </w:r>
      <w:r w:rsidRPr="001B6ECB">
        <w:rPr>
          <w:rStyle w:val="FootnoteReference"/>
          <w:rFonts w:ascii="Times New Roman" w:hAnsi="Times New Roman" w:cs="Times New Roman"/>
          <w:sz w:val="24"/>
          <w:szCs w:val="24"/>
          <w:lang w:val="en-US"/>
        </w:rPr>
        <w:footnoteReference w:id="7"/>
      </w:r>
      <w:r w:rsidRPr="001B6ECB">
        <w:rPr>
          <w:rFonts w:ascii="Times New Roman" w:hAnsi="Times New Roman" w:cs="Times New Roman"/>
          <w:sz w:val="24"/>
          <w:szCs w:val="24"/>
          <w:lang w:val="en-US"/>
        </w:rPr>
        <w:t xml:space="preserve"> allowed Mr. Orbán to initiate a large-scale transformation of the entire domestic political institutional system which involved – </w:t>
      </w:r>
      <w:r w:rsidR="00BA48F9">
        <w:rPr>
          <w:rFonts w:ascii="Times New Roman" w:hAnsi="Times New Roman" w:cs="Times New Roman"/>
          <w:sz w:val="24"/>
          <w:szCs w:val="24"/>
          <w:lang w:val="en-US"/>
        </w:rPr>
        <w:t xml:space="preserve">as already noted above </w:t>
      </w:r>
      <w:r w:rsidRPr="001B6ECB">
        <w:rPr>
          <w:rFonts w:ascii="Times New Roman" w:hAnsi="Times New Roman" w:cs="Times New Roman"/>
          <w:sz w:val="24"/>
          <w:szCs w:val="24"/>
          <w:lang w:val="en-US"/>
        </w:rPr>
        <w:t xml:space="preserve">– the restructuring of the territorial administration and the abolition of the remainders of self-government, the </w:t>
      </w:r>
      <w:r w:rsidR="00BA48F9">
        <w:rPr>
          <w:rFonts w:ascii="Times New Roman" w:hAnsi="Times New Roman" w:cs="Times New Roman"/>
          <w:sz w:val="24"/>
          <w:szCs w:val="24"/>
          <w:lang w:val="en-US"/>
        </w:rPr>
        <w:t xml:space="preserve">destruction of the </w:t>
      </w:r>
      <w:r w:rsidRPr="001B6ECB">
        <w:rPr>
          <w:rFonts w:ascii="Times New Roman" w:hAnsi="Times New Roman" w:cs="Times New Roman"/>
          <w:sz w:val="24"/>
          <w:szCs w:val="24"/>
          <w:lang w:val="en-US"/>
        </w:rPr>
        <w:t xml:space="preserve">three major pillars of social security (pension, health and unemployment benefits), the control and supervision of public education (primary and secondary schools), etc.  </w:t>
      </w:r>
      <w:r w:rsidR="00D54844">
        <w:rPr>
          <w:rFonts w:ascii="Times New Roman" w:hAnsi="Times New Roman" w:cs="Times New Roman"/>
          <w:sz w:val="24"/>
          <w:szCs w:val="24"/>
          <w:lang w:val="en-US"/>
        </w:rPr>
        <w:t xml:space="preserve"> </w:t>
      </w:r>
      <w:r w:rsidR="00C54CF8" w:rsidRPr="001B6ECB">
        <w:rPr>
          <w:rFonts w:ascii="Times New Roman" w:hAnsi="Times New Roman" w:cs="Times New Roman"/>
          <w:sz w:val="24"/>
          <w:szCs w:val="24"/>
          <w:lang w:val="en-US"/>
        </w:rPr>
        <w:t>Th</w:t>
      </w:r>
      <w:r w:rsidR="000347C9">
        <w:rPr>
          <w:rFonts w:ascii="Times New Roman" w:hAnsi="Times New Roman" w:cs="Times New Roman"/>
          <w:sz w:val="24"/>
          <w:szCs w:val="24"/>
          <w:lang w:val="en-US"/>
        </w:rPr>
        <w:t>e</w:t>
      </w:r>
      <w:r w:rsidR="00C54CF8" w:rsidRPr="001B6ECB">
        <w:rPr>
          <w:rFonts w:ascii="Times New Roman" w:hAnsi="Times New Roman" w:cs="Times New Roman"/>
          <w:sz w:val="24"/>
          <w:szCs w:val="24"/>
          <w:lang w:val="en-US"/>
        </w:rPr>
        <w:t xml:space="preserve"> new Fundamental Law, as the new constitution is officially called, took away a lot of discretionary power and property from the municipalities (e.g. schools, in-patient healthcare facilities, fire brigades, museums and archives) and shifted them to the central government.</w:t>
      </w:r>
      <w:r w:rsidR="00B03155">
        <w:rPr>
          <w:rFonts w:ascii="Times New Roman" w:hAnsi="Times New Roman" w:cs="Times New Roman"/>
          <w:sz w:val="24"/>
          <w:szCs w:val="24"/>
          <w:lang w:val="en-US"/>
        </w:rPr>
        <w:t xml:space="preserve"> The remaining relative autonomy of the two social security pillars – the National Health Insurance Fund and the National Pension Fund – was scrapped.  Both funds became part of the central budget.  The term “social security” was removed from the text of the constitution.</w:t>
      </w:r>
    </w:p>
    <w:p w:rsidR="00716E22" w:rsidRDefault="00101237" w:rsidP="00D54844">
      <w:pPr>
        <w:spacing w:line="360" w:lineRule="auto"/>
        <w:jc w:val="both"/>
        <w:rPr>
          <w:rFonts w:ascii="Times New Roman" w:hAnsi="Times New Roman" w:cs="Times New Roman"/>
          <w:sz w:val="24"/>
          <w:szCs w:val="24"/>
          <w:lang w:val="en-US"/>
        </w:rPr>
      </w:pPr>
      <w:r w:rsidRPr="001B6ECB">
        <w:rPr>
          <w:rFonts w:ascii="Times New Roman" w:hAnsi="Times New Roman" w:cs="Times New Roman"/>
          <w:sz w:val="24"/>
          <w:szCs w:val="24"/>
          <w:lang w:val="en-US"/>
        </w:rPr>
        <w:t xml:space="preserve">The new strategy had an important </w:t>
      </w:r>
      <w:r w:rsidRPr="001B6ECB">
        <w:rPr>
          <w:rFonts w:ascii="Times New Roman" w:hAnsi="Times New Roman" w:cs="Times New Roman"/>
          <w:b/>
          <w:sz w:val="24"/>
          <w:szCs w:val="24"/>
          <w:lang w:val="en-US"/>
        </w:rPr>
        <w:t>foreign policy</w:t>
      </w:r>
      <w:r w:rsidRPr="001B6ECB">
        <w:rPr>
          <w:rFonts w:ascii="Times New Roman" w:hAnsi="Times New Roman" w:cs="Times New Roman"/>
          <w:sz w:val="24"/>
          <w:szCs w:val="24"/>
          <w:lang w:val="en-US"/>
        </w:rPr>
        <w:t xml:space="preserve"> dimension, too.  Much of the statements and the act</w:t>
      </w:r>
      <w:r w:rsidR="00716E22">
        <w:rPr>
          <w:rFonts w:ascii="Times New Roman" w:hAnsi="Times New Roman" w:cs="Times New Roman"/>
          <w:sz w:val="24"/>
          <w:szCs w:val="24"/>
          <w:lang w:val="en-US"/>
        </w:rPr>
        <w:t>ions</w:t>
      </w:r>
      <w:r w:rsidRPr="001B6ECB">
        <w:rPr>
          <w:rFonts w:ascii="Times New Roman" w:hAnsi="Times New Roman" w:cs="Times New Roman"/>
          <w:sz w:val="24"/>
          <w:szCs w:val="24"/>
          <w:lang w:val="en-US"/>
        </w:rPr>
        <w:t xml:space="preserve"> of the Prime Minister carr</w:t>
      </w:r>
      <w:r w:rsidR="00716E22">
        <w:rPr>
          <w:rFonts w:ascii="Times New Roman" w:hAnsi="Times New Roman" w:cs="Times New Roman"/>
          <w:sz w:val="24"/>
          <w:szCs w:val="24"/>
          <w:lang w:val="en-US"/>
        </w:rPr>
        <w:t>y</w:t>
      </w:r>
      <w:r w:rsidRPr="001B6ECB">
        <w:rPr>
          <w:rFonts w:ascii="Times New Roman" w:hAnsi="Times New Roman" w:cs="Times New Roman"/>
          <w:sz w:val="24"/>
          <w:szCs w:val="24"/>
          <w:lang w:val="en-US"/>
        </w:rPr>
        <w:t xml:space="preserve"> anti-EU and anti-US sentiments, as well as revanchist allusions at the detriment of Hungary’s terrestrial neighbors (chiefly Romania, but also Ukraine and Serbia).</w:t>
      </w:r>
      <w:r w:rsidR="00716E22">
        <w:rPr>
          <w:rFonts w:ascii="Times New Roman" w:hAnsi="Times New Roman" w:cs="Times New Roman"/>
          <w:sz w:val="24"/>
          <w:szCs w:val="24"/>
          <w:lang w:val="en-US"/>
        </w:rPr>
        <w:t xml:space="preserve">  It is a recurrent expression of the state-sponsored media to speak on behalf of 15 million Hungarians (a number which includes the (over)estimated 5 million Hungarians living outside of the present Hungarian borders).   </w:t>
      </w:r>
      <w:r w:rsidRPr="001B6ECB">
        <w:rPr>
          <w:rFonts w:ascii="Times New Roman" w:hAnsi="Times New Roman" w:cs="Times New Roman"/>
          <w:sz w:val="24"/>
          <w:szCs w:val="24"/>
          <w:lang w:val="en-US"/>
        </w:rPr>
        <w:t>“</w:t>
      </w:r>
      <w:r w:rsidRPr="001B6ECB">
        <w:rPr>
          <w:rFonts w:ascii="Times New Roman" w:hAnsi="Times New Roman" w:cs="Times New Roman"/>
          <w:i/>
          <w:sz w:val="24"/>
          <w:szCs w:val="24"/>
          <w:lang w:val="en-US"/>
        </w:rPr>
        <w:t>Opening toward the East</w:t>
      </w:r>
      <w:r w:rsidRPr="001B6ECB">
        <w:rPr>
          <w:rFonts w:ascii="Times New Roman" w:hAnsi="Times New Roman" w:cs="Times New Roman"/>
          <w:sz w:val="24"/>
          <w:szCs w:val="24"/>
          <w:lang w:val="en-US"/>
        </w:rPr>
        <w:t xml:space="preserve">” </w:t>
      </w:r>
      <w:r w:rsidR="00B03155">
        <w:rPr>
          <w:rFonts w:ascii="Times New Roman" w:hAnsi="Times New Roman" w:cs="Times New Roman"/>
          <w:sz w:val="24"/>
          <w:szCs w:val="24"/>
          <w:lang w:val="en-US"/>
        </w:rPr>
        <w:t>or “</w:t>
      </w:r>
      <w:r w:rsidR="00B03155" w:rsidRPr="00B03155">
        <w:rPr>
          <w:rFonts w:ascii="Times New Roman" w:hAnsi="Times New Roman" w:cs="Times New Roman"/>
          <w:i/>
          <w:sz w:val="24"/>
          <w:szCs w:val="24"/>
          <w:lang w:val="en-US"/>
        </w:rPr>
        <w:t>Hungary can become the Western gate of the new “railway Silk Road” of the 21st century</w:t>
      </w:r>
      <w:r w:rsidR="00B03155">
        <w:rPr>
          <w:rFonts w:ascii="Times New Roman" w:hAnsi="Times New Roman" w:cs="Times New Roman"/>
          <w:sz w:val="24"/>
          <w:szCs w:val="24"/>
          <w:lang w:val="en-US"/>
        </w:rPr>
        <w:t>”</w:t>
      </w:r>
      <w:r w:rsidR="00B03155">
        <w:rPr>
          <w:rStyle w:val="FootnoteReference"/>
          <w:rFonts w:ascii="Times New Roman" w:hAnsi="Times New Roman" w:cs="Times New Roman"/>
          <w:sz w:val="24"/>
          <w:szCs w:val="24"/>
          <w:lang w:val="en-US"/>
        </w:rPr>
        <w:footnoteReference w:id="8"/>
      </w:r>
      <w:r w:rsidR="00B03155">
        <w:rPr>
          <w:rFonts w:ascii="Times New Roman" w:hAnsi="Times New Roman" w:cs="Times New Roman"/>
          <w:sz w:val="24"/>
          <w:szCs w:val="24"/>
          <w:lang w:val="en-US"/>
        </w:rPr>
        <w:t xml:space="preserve"> are typical examples of the newly </w:t>
      </w:r>
      <w:r w:rsidRPr="001B6ECB">
        <w:rPr>
          <w:rFonts w:ascii="Times New Roman" w:hAnsi="Times New Roman" w:cs="Times New Roman"/>
          <w:sz w:val="24"/>
          <w:szCs w:val="24"/>
          <w:lang w:val="en-US"/>
        </w:rPr>
        <w:t xml:space="preserve">invented </w:t>
      </w:r>
      <w:r w:rsidR="00B03155">
        <w:rPr>
          <w:rFonts w:ascii="Times New Roman" w:hAnsi="Times New Roman" w:cs="Times New Roman"/>
          <w:sz w:val="24"/>
          <w:szCs w:val="24"/>
          <w:lang w:val="en-US"/>
        </w:rPr>
        <w:t xml:space="preserve">campaign </w:t>
      </w:r>
      <w:r w:rsidRPr="001B6ECB">
        <w:rPr>
          <w:rFonts w:ascii="Times New Roman" w:hAnsi="Times New Roman" w:cs="Times New Roman"/>
          <w:sz w:val="24"/>
          <w:szCs w:val="24"/>
          <w:lang w:val="en-US"/>
        </w:rPr>
        <w:t>slogan</w:t>
      </w:r>
      <w:r w:rsidR="00B03155">
        <w:rPr>
          <w:rFonts w:ascii="Times New Roman" w:hAnsi="Times New Roman" w:cs="Times New Roman"/>
          <w:sz w:val="24"/>
          <w:szCs w:val="24"/>
          <w:lang w:val="en-US"/>
        </w:rPr>
        <w:t>s</w:t>
      </w:r>
      <w:r w:rsidR="00716E22">
        <w:rPr>
          <w:rFonts w:ascii="Times New Roman" w:hAnsi="Times New Roman" w:cs="Times New Roman"/>
          <w:sz w:val="24"/>
          <w:szCs w:val="24"/>
          <w:lang w:val="en-US"/>
        </w:rPr>
        <w:t xml:space="preserve">. </w:t>
      </w:r>
      <w:r w:rsidR="00B03155">
        <w:rPr>
          <w:rFonts w:ascii="Times New Roman" w:hAnsi="Times New Roman" w:cs="Times New Roman"/>
          <w:sz w:val="24"/>
          <w:szCs w:val="24"/>
          <w:lang w:val="en-US"/>
        </w:rPr>
        <w:t xml:space="preserve"> </w:t>
      </w:r>
      <w:r w:rsidRPr="001B6ECB">
        <w:rPr>
          <w:rFonts w:ascii="Times New Roman" w:hAnsi="Times New Roman" w:cs="Times New Roman"/>
          <w:sz w:val="24"/>
          <w:szCs w:val="24"/>
          <w:lang w:val="en-US"/>
        </w:rPr>
        <w:t xml:space="preserve">This meant, first of all, </w:t>
      </w:r>
      <w:r w:rsidR="003B4578">
        <w:rPr>
          <w:rFonts w:ascii="Times New Roman" w:hAnsi="Times New Roman" w:cs="Times New Roman"/>
          <w:sz w:val="24"/>
          <w:szCs w:val="24"/>
          <w:lang w:val="en-US"/>
        </w:rPr>
        <w:t xml:space="preserve">the plans of </w:t>
      </w:r>
      <w:r w:rsidRPr="001B6ECB">
        <w:rPr>
          <w:rFonts w:ascii="Times New Roman" w:hAnsi="Times New Roman" w:cs="Times New Roman"/>
          <w:sz w:val="24"/>
          <w:szCs w:val="24"/>
          <w:lang w:val="en-US"/>
        </w:rPr>
        <w:t xml:space="preserve">a </w:t>
      </w:r>
      <w:r w:rsidR="00716E22">
        <w:rPr>
          <w:rFonts w:ascii="Times New Roman" w:hAnsi="Times New Roman" w:cs="Times New Roman"/>
          <w:sz w:val="24"/>
          <w:szCs w:val="24"/>
          <w:lang w:val="en-US"/>
        </w:rPr>
        <w:t xml:space="preserve">12 bn euro </w:t>
      </w:r>
      <w:r w:rsidRPr="001B6ECB">
        <w:rPr>
          <w:rFonts w:ascii="Times New Roman" w:hAnsi="Times New Roman" w:cs="Times New Roman"/>
          <w:sz w:val="24"/>
          <w:szCs w:val="24"/>
          <w:lang w:val="en-US"/>
        </w:rPr>
        <w:t>nuclear deal with Russia on the delivery of two 1000 MW electricity generating blocks</w:t>
      </w:r>
      <w:r w:rsidR="007061C0" w:rsidRPr="001B6ECB">
        <w:rPr>
          <w:rFonts w:ascii="Times New Roman" w:hAnsi="Times New Roman" w:cs="Times New Roman"/>
          <w:sz w:val="24"/>
          <w:szCs w:val="24"/>
          <w:lang w:val="en-US"/>
        </w:rPr>
        <w:t xml:space="preserve"> in order to increase the present 4x480 MW capacity of the Paks Nuclear Power Station</w:t>
      </w:r>
      <w:r w:rsidRPr="001B6ECB">
        <w:rPr>
          <w:rFonts w:ascii="Times New Roman" w:hAnsi="Times New Roman" w:cs="Times New Roman"/>
          <w:sz w:val="24"/>
          <w:szCs w:val="24"/>
          <w:lang w:val="en-US"/>
        </w:rPr>
        <w:t xml:space="preserve">, </w:t>
      </w:r>
      <w:r w:rsidR="003B4578">
        <w:rPr>
          <w:rFonts w:ascii="Times New Roman" w:hAnsi="Times New Roman" w:cs="Times New Roman"/>
          <w:sz w:val="24"/>
          <w:szCs w:val="24"/>
          <w:lang w:val="en-US"/>
        </w:rPr>
        <w:t xml:space="preserve">a Budapest – Belgrad railway line for 1.1 bn euros financed by China </w:t>
      </w:r>
      <w:r w:rsidRPr="001B6ECB">
        <w:rPr>
          <w:rFonts w:ascii="Times New Roman" w:hAnsi="Times New Roman" w:cs="Times New Roman"/>
          <w:sz w:val="24"/>
          <w:szCs w:val="24"/>
          <w:lang w:val="en-US"/>
        </w:rPr>
        <w:t xml:space="preserve">and lots </w:t>
      </w:r>
      <w:r w:rsidRPr="001B6ECB">
        <w:rPr>
          <w:rFonts w:ascii="Times New Roman" w:hAnsi="Times New Roman" w:cs="Times New Roman"/>
          <w:sz w:val="24"/>
          <w:szCs w:val="24"/>
          <w:lang w:val="en-US"/>
        </w:rPr>
        <w:lastRenderedPageBreak/>
        <w:t xml:space="preserve">of </w:t>
      </w:r>
      <w:r w:rsidR="003B4578">
        <w:rPr>
          <w:rFonts w:ascii="Times New Roman" w:hAnsi="Times New Roman" w:cs="Times New Roman"/>
          <w:sz w:val="24"/>
          <w:szCs w:val="24"/>
          <w:lang w:val="en-US"/>
        </w:rPr>
        <w:t xml:space="preserve">moribund </w:t>
      </w:r>
      <w:r w:rsidRPr="001B6ECB">
        <w:rPr>
          <w:rFonts w:ascii="Times New Roman" w:hAnsi="Times New Roman" w:cs="Times New Roman"/>
          <w:sz w:val="24"/>
          <w:szCs w:val="24"/>
          <w:lang w:val="en-US"/>
        </w:rPr>
        <w:t>government efforts to make trade deals with Central-Asian former Soviet republics.</w:t>
      </w:r>
      <w:r w:rsidR="00D54844">
        <w:rPr>
          <w:rFonts w:ascii="Times New Roman" w:hAnsi="Times New Roman" w:cs="Times New Roman"/>
          <w:sz w:val="24"/>
          <w:szCs w:val="24"/>
          <w:lang w:val="en-US"/>
        </w:rPr>
        <w:t xml:space="preserve">   </w:t>
      </w:r>
      <w:r w:rsidR="00716E22">
        <w:rPr>
          <w:rFonts w:ascii="Times New Roman" w:hAnsi="Times New Roman" w:cs="Times New Roman"/>
          <w:sz w:val="24"/>
          <w:szCs w:val="24"/>
          <w:lang w:val="en-US"/>
        </w:rPr>
        <w:t>Th</w:t>
      </w:r>
      <w:r w:rsidR="003B4578">
        <w:rPr>
          <w:rFonts w:ascii="Times New Roman" w:hAnsi="Times New Roman" w:cs="Times New Roman"/>
          <w:sz w:val="24"/>
          <w:szCs w:val="24"/>
          <w:lang w:val="en-US"/>
        </w:rPr>
        <w:t xml:space="preserve">e </w:t>
      </w:r>
      <w:r w:rsidR="00716E22">
        <w:rPr>
          <w:rFonts w:ascii="Times New Roman" w:hAnsi="Times New Roman" w:cs="Times New Roman"/>
          <w:sz w:val="24"/>
          <w:szCs w:val="24"/>
          <w:lang w:val="en-US"/>
        </w:rPr>
        <w:t xml:space="preserve">idea </w:t>
      </w:r>
      <w:r w:rsidR="003B4578">
        <w:rPr>
          <w:rFonts w:ascii="Times New Roman" w:hAnsi="Times New Roman" w:cs="Times New Roman"/>
          <w:sz w:val="24"/>
          <w:szCs w:val="24"/>
          <w:lang w:val="en-US"/>
        </w:rPr>
        <w:t xml:space="preserve">to cooperate with the post-Soviet republics </w:t>
      </w:r>
      <w:r w:rsidR="00716E22">
        <w:rPr>
          <w:rFonts w:ascii="Times New Roman" w:hAnsi="Times New Roman" w:cs="Times New Roman"/>
          <w:sz w:val="24"/>
          <w:szCs w:val="24"/>
          <w:lang w:val="en-US"/>
        </w:rPr>
        <w:t>in itself could have even worked in</w:t>
      </w:r>
      <w:r w:rsidR="00667F01">
        <w:rPr>
          <w:rFonts w:ascii="Times New Roman" w:hAnsi="Times New Roman" w:cs="Times New Roman"/>
          <w:sz w:val="24"/>
          <w:szCs w:val="24"/>
          <w:lang w:val="en-US"/>
        </w:rPr>
        <w:t xml:space="preserve"> real life, but it didn’t as th</w:t>
      </w:r>
      <w:r w:rsidR="003B4578">
        <w:rPr>
          <w:rFonts w:ascii="Times New Roman" w:hAnsi="Times New Roman" w:cs="Times New Roman"/>
          <w:sz w:val="24"/>
          <w:szCs w:val="24"/>
          <w:lang w:val="en-US"/>
        </w:rPr>
        <w:t xml:space="preserve">ese energy producing countries </w:t>
      </w:r>
      <w:r w:rsidR="00667F01">
        <w:rPr>
          <w:rFonts w:ascii="Times New Roman" w:hAnsi="Times New Roman" w:cs="Times New Roman"/>
          <w:sz w:val="24"/>
          <w:szCs w:val="24"/>
          <w:lang w:val="en-US"/>
        </w:rPr>
        <w:t xml:space="preserve">were all pushed close to financial collapse after the fall of oil- and gas prices. </w:t>
      </w:r>
    </w:p>
    <w:p w:rsidR="00D54844" w:rsidRPr="004136B0" w:rsidRDefault="00D54844" w:rsidP="00D54844">
      <w:pPr>
        <w:spacing w:line="360" w:lineRule="auto"/>
        <w:jc w:val="both"/>
        <w:rPr>
          <w:rFonts w:ascii="Times New Roman" w:hAnsi="Times New Roman" w:cs="Times New Roman"/>
          <w:sz w:val="24"/>
          <w:szCs w:val="24"/>
          <w:lang w:val="en-US"/>
        </w:rPr>
      </w:pPr>
      <w:r w:rsidRPr="001B6ECB">
        <w:rPr>
          <w:rFonts w:ascii="Times New Roman" w:hAnsi="Times New Roman" w:cs="Times New Roman"/>
          <w:sz w:val="24"/>
          <w:szCs w:val="24"/>
          <w:lang w:val="en-US"/>
        </w:rPr>
        <w:t xml:space="preserve">Among the 1264 laws passed by Parliament since mid-2010, many were purposely designed to </w:t>
      </w:r>
      <w:r w:rsidRPr="00D54844">
        <w:rPr>
          <w:rFonts w:ascii="Times New Roman" w:hAnsi="Times New Roman" w:cs="Times New Roman"/>
          <w:b/>
          <w:sz w:val="24"/>
          <w:szCs w:val="24"/>
          <w:lang w:val="en-US"/>
        </w:rPr>
        <w:t>limit the free conduct of businesses</w:t>
      </w:r>
      <w:r w:rsidRPr="001B6ECB">
        <w:rPr>
          <w:rFonts w:ascii="Times New Roman" w:hAnsi="Times New Roman" w:cs="Times New Roman"/>
          <w:sz w:val="24"/>
          <w:szCs w:val="24"/>
          <w:lang w:val="en-US"/>
        </w:rPr>
        <w:t>.  The political calculation was that it would take years until the EU could enforce the</w:t>
      </w:r>
      <w:r w:rsidR="00C54CF8">
        <w:rPr>
          <w:rFonts w:ascii="Times New Roman" w:hAnsi="Times New Roman" w:cs="Times New Roman"/>
          <w:sz w:val="24"/>
          <w:szCs w:val="24"/>
          <w:lang w:val="en-US"/>
        </w:rPr>
        <w:t xml:space="preserve"> letter and the spirit of the </w:t>
      </w:r>
      <w:r w:rsidRPr="00BA48F9">
        <w:rPr>
          <w:rFonts w:ascii="Times New Roman" w:hAnsi="Times New Roman" w:cs="Times New Roman"/>
          <w:i/>
          <w:sz w:val="24"/>
          <w:szCs w:val="24"/>
          <w:lang w:val="en-US"/>
        </w:rPr>
        <w:t>acquis communataire</w:t>
      </w:r>
      <w:r w:rsidRPr="001B6ECB">
        <w:rPr>
          <w:rFonts w:ascii="Times New Roman" w:hAnsi="Times New Roman" w:cs="Times New Roman"/>
          <w:i/>
          <w:sz w:val="24"/>
          <w:szCs w:val="24"/>
          <w:lang w:val="en-US"/>
        </w:rPr>
        <w:t xml:space="preserve"> </w:t>
      </w:r>
      <w:r w:rsidRPr="001B6ECB">
        <w:rPr>
          <w:rFonts w:ascii="Times New Roman" w:hAnsi="Times New Roman" w:cs="Times New Roman"/>
          <w:sz w:val="24"/>
          <w:szCs w:val="24"/>
          <w:lang w:val="en-US"/>
        </w:rPr>
        <w:t>on the Hungarian legislators, and by the time this happens, the Hungarian public opinion would lose interest in th</w:t>
      </w:r>
      <w:r w:rsidR="00C54CF8">
        <w:rPr>
          <w:rFonts w:ascii="Times New Roman" w:hAnsi="Times New Roman" w:cs="Times New Roman"/>
          <w:sz w:val="24"/>
          <w:szCs w:val="24"/>
          <w:lang w:val="en-US"/>
        </w:rPr>
        <w:t xml:space="preserve">at particular </w:t>
      </w:r>
      <w:r w:rsidRPr="001B6ECB">
        <w:rPr>
          <w:rFonts w:ascii="Times New Roman" w:hAnsi="Times New Roman" w:cs="Times New Roman"/>
          <w:sz w:val="24"/>
          <w:szCs w:val="24"/>
          <w:lang w:val="en-US"/>
        </w:rPr>
        <w:t xml:space="preserve">matter.   And indeed, this tactic </w:t>
      </w:r>
      <w:r w:rsidR="00C54CF8">
        <w:rPr>
          <w:rFonts w:ascii="Times New Roman" w:hAnsi="Times New Roman" w:cs="Times New Roman"/>
          <w:sz w:val="24"/>
          <w:szCs w:val="24"/>
          <w:lang w:val="en-US"/>
        </w:rPr>
        <w:t xml:space="preserve">has </w:t>
      </w:r>
      <w:r w:rsidRPr="001B6ECB">
        <w:rPr>
          <w:rFonts w:ascii="Times New Roman" w:hAnsi="Times New Roman" w:cs="Times New Roman"/>
          <w:sz w:val="24"/>
          <w:szCs w:val="24"/>
          <w:lang w:val="en-US"/>
        </w:rPr>
        <w:t>worked well until</w:t>
      </w:r>
      <w:r>
        <w:rPr>
          <w:lang w:val="en-US"/>
        </w:rPr>
        <w:t xml:space="preserve"> </w:t>
      </w:r>
      <w:r w:rsidRPr="004136B0">
        <w:rPr>
          <w:rFonts w:ascii="Times New Roman" w:hAnsi="Times New Roman" w:cs="Times New Roman"/>
          <w:sz w:val="24"/>
          <w:szCs w:val="24"/>
          <w:lang w:val="en-US"/>
        </w:rPr>
        <w:t>today.</w:t>
      </w:r>
      <w:r w:rsidRPr="004136B0">
        <w:rPr>
          <w:rStyle w:val="FootnoteReference"/>
          <w:rFonts w:ascii="Times New Roman" w:hAnsi="Times New Roman" w:cs="Times New Roman"/>
          <w:sz w:val="24"/>
          <w:szCs w:val="24"/>
          <w:lang w:val="en-US"/>
        </w:rPr>
        <w:footnoteReference w:id="9"/>
      </w:r>
      <w:r w:rsidRPr="004136B0">
        <w:rPr>
          <w:rFonts w:ascii="Times New Roman" w:hAnsi="Times New Roman" w:cs="Times New Roman"/>
          <w:sz w:val="24"/>
          <w:szCs w:val="24"/>
          <w:lang w:val="en-US"/>
        </w:rPr>
        <w:t xml:space="preserve">  </w:t>
      </w:r>
      <w:r w:rsidR="00C54CF8">
        <w:rPr>
          <w:rFonts w:ascii="Times New Roman" w:hAnsi="Times New Roman" w:cs="Times New Roman"/>
          <w:sz w:val="24"/>
          <w:szCs w:val="24"/>
          <w:lang w:val="en-US"/>
        </w:rPr>
        <w:t xml:space="preserve"> Any case, which was subject of an EU infringement procedure, required at least two years, until the final and irrevocable decisions came out from the Commission and/or the European Court of Justice.  </w:t>
      </w:r>
      <w:r w:rsidRPr="004136B0">
        <w:rPr>
          <w:rFonts w:ascii="Times New Roman" w:hAnsi="Times New Roman" w:cs="Times New Roman"/>
          <w:sz w:val="24"/>
          <w:szCs w:val="24"/>
          <w:lang w:val="en-US"/>
        </w:rPr>
        <w:t xml:space="preserve"> The tacit support of Washington was “bought”, primarily, with the unconditional support of the NATO-alliance in foreign military campaigns (Iraq, Afghanistan and Syria).</w:t>
      </w:r>
    </w:p>
    <w:p w:rsidR="00D54844" w:rsidRDefault="00D54844" w:rsidP="00101237">
      <w:pPr>
        <w:spacing w:line="360" w:lineRule="auto"/>
        <w:jc w:val="both"/>
        <w:rPr>
          <w:rFonts w:ascii="Times New Roman" w:hAnsi="Times New Roman" w:cs="Times New Roman"/>
          <w:sz w:val="24"/>
          <w:szCs w:val="24"/>
          <w:lang w:val="en-US"/>
        </w:rPr>
      </w:pPr>
    </w:p>
    <w:p w:rsidR="00D54844" w:rsidRPr="00D54844" w:rsidRDefault="00D54844" w:rsidP="00D54844">
      <w:pPr>
        <w:pStyle w:val="ListParagraph"/>
        <w:numPr>
          <w:ilvl w:val="0"/>
          <w:numId w:val="2"/>
        </w:numPr>
        <w:spacing w:line="360" w:lineRule="auto"/>
        <w:jc w:val="center"/>
        <w:rPr>
          <w:rFonts w:ascii="Times New Roman" w:hAnsi="Times New Roman" w:cs="Times New Roman"/>
          <w:sz w:val="24"/>
          <w:szCs w:val="24"/>
          <w:lang w:val="en-US"/>
        </w:rPr>
      </w:pPr>
    </w:p>
    <w:p w:rsidR="00C54CF8" w:rsidRDefault="004136B0" w:rsidP="00D619E0">
      <w:pPr>
        <w:spacing w:line="360" w:lineRule="auto"/>
        <w:jc w:val="both"/>
        <w:rPr>
          <w:rFonts w:ascii="Times New Roman" w:hAnsi="Times New Roman" w:cs="Times New Roman"/>
          <w:sz w:val="24"/>
          <w:szCs w:val="24"/>
          <w:lang w:val="en-US"/>
        </w:rPr>
      </w:pPr>
      <w:r w:rsidRPr="004136B0">
        <w:rPr>
          <w:rFonts w:ascii="Times New Roman" w:hAnsi="Times New Roman" w:cs="Times New Roman"/>
          <w:i/>
          <w:sz w:val="24"/>
          <w:szCs w:val="24"/>
          <w:lang w:val="en-US"/>
        </w:rPr>
        <w:t xml:space="preserve">Brief </w:t>
      </w:r>
      <w:r>
        <w:rPr>
          <w:rFonts w:ascii="Times New Roman" w:hAnsi="Times New Roman" w:cs="Times New Roman"/>
          <w:i/>
          <w:sz w:val="24"/>
          <w:szCs w:val="24"/>
          <w:lang w:val="en-US"/>
        </w:rPr>
        <w:t xml:space="preserve">quantitative </w:t>
      </w:r>
      <w:r w:rsidRPr="004136B0">
        <w:rPr>
          <w:rFonts w:ascii="Times New Roman" w:hAnsi="Times New Roman" w:cs="Times New Roman"/>
          <w:i/>
          <w:sz w:val="24"/>
          <w:szCs w:val="24"/>
          <w:lang w:val="en-US"/>
        </w:rPr>
        <w:t>summary of the o</w:t>
      </w:r>
      <w:r w:rsidR="00D619E0" w:rsidRPr="004136B0">
        <w:rPr>
          <w:rFonts w:ascii="Times New Roman" w:hAnsi="Times New Roman" w:cs="Times New Roman"/>
          <w:i/>
          <w:sz w:val="24"/>
          <w:szCs w:val="24"/>
          <w:lang w:val="en-US"/>
        </w:rPr>
        <w:t>wnership changes</w:t>
      </w:r>
      <w:r w:rsidR="00365E09">
        <w:rPr>
          <w:rFonts w:ascii="Times New Roman" w:hAnsi="Times New Roman" w:cs="Times New Roman"/>
          <w:sz w:val="24"/>
          <w:szCs w:val="24"/>
          <w:lang w:val="en-US"/>
        </w:rPr>
        <w:t>.</w:t>
      </w:r>
      <w:r w:rsidR="00A16968">
        <w:rPr>
          <w:rFonts w:ascii="Times New Roman" w:hAnsi="Times New Roman" w:cs="Times New Roman"/>
          <w:sz w:val="24"/>
          <w:szCs w:val="24"/>
          <w:lang w:val="en-US"/>
        </w:rPr>
        <w:t xml:space="preserve"> </w:t>
      </w:r>
      <w:r w:rsidR="00365E09">
        <w:rPr>
          <w:rFonts w:ascii="Times New Roman" w:hAnsi="Times New Roman" w:cs="Times New Roman"/>
          <w:sz w:val="24"/>
          <w:szCs w:val="24"/>
          <w:lang w:val="en-US"/>
        </w:rPr>
        <w:t xml:space="preserve">  </w:t>
      </w:r>
      <w:r w:rsidR="00A16968" w:rsidRPr="00A16968">
        <w:rPr>
          <w:rFonts w:ascii="Times New Roman" w:hAnsi="Times New Roman" w:cs="Times New Roman"/>
          <w:sz w:val="24"/>
          <w:szCs w:val="24"/>
          <w:lang w:val="en-US"/>
        </w:rPr>
        <w:t>For many reasons, it is difficult have a grip on the true size of the ongoing Hungarian renationalization campaign.  There is a deliberate policy attempt to keep as much as information hidden, as possible. The transactions on the government’s side have been carried out by different institutions, such as the Hungarian National Asset Management Inc. (HNAM Inc.), the legal successor of the former privatization agency, the</w:t>
      </w:r>
      <w:r w:rsidR="00A16968">
        <w:rPr>
          <w:rFonts w:ascii="Times New Roman" w:hAnsi="Times New Roman" w:cs="Times New Roman"/>
          <w:sz w:val="24"/>
          <w:szCs w:val="24"/>
          <w:lang w:val="en-US"/>
        </w:rPr>
        <w:t xml:space="preserve"> state owned Development Bank (MFB), the </w:t>
      </w:r>
      <w:r w:rsidR="00A16968" w:rsidRPr="00A16968">
        <w:rPr>
          <w:rFonts w:ascii="Times New Roman" w:hAnsi="Times New Roman" w:cs="Times New Roman"/>
          <w:sz w:val="24"/>
          <w:szCs w:val="24"/>
          <w:lang w:val="en-US"/>
        </w:rPr>
        <w:t xml:space="preserve">Prime Minister’s Office, the </w:t>
      </w:r>
      <w:r w:rsidR="00A16968">
        <w:rPr>
          <w:rFonts w:ascii="Times New Roman" w:hAnsi="Times New Roman" w:cs="Times New Roman"/>
          <w:sz w:val="24"/>
          <w:szCs w:val="24"/>
          <w:lang w:val="en-US"/>
        </w:rPr>
        <w:t>central b</w:t>
      </w:r>
      <w:r w:rsidR="00A16968" w:rsidRPr="00A16968">
        <w:rPr>
          <w:rFonts w:ascii="Times New Roman" w:hAnsi="Times New Roman" w:cs="Times New Roman"/>
          <w:sz w:val="24"/>
          <w:szCs w:val="24"/>
          <w:lang w:val="en-US"/>
        </w:rPr>
        <w:t>ank, branch ministries</w:t>
      </w:r>
      <w:r w:rsidR="000347C9">
        <w:rPr>
          <w:rFonts w:ascii="Times New Roman" w:hAnsi="Times New Roman" w:cs="Times New Roman"/>
          <w:sz w:val="24"/>
          <w:szCs w:val="24"/>
          <w:lang w:val="en-US"/>
        </w:rPr>
        <w:t xml:space="preserve">, </w:t>
      </w:r>
      <w:r w:rsidR="00204F00">
        <w:rPr>
          <w:rFonts w:ascii="Times New Roman" w:hAnsi="Times New Roman" w:cs="Times New Roman"/>
          <w:sz w:val="24"/>
          <w:szCs w:val="24"/>
          <w:lang w:val="en-US"/>
        </w:rPr>
        <w:t xml:space="preserve">certain large </w:t>
      </w:r>
      <w:r w:rsidR="00A16968" w:rsidRPr="00A16968">
        <w:rPr>
          <w:rFonts w:ascii="Times New Roman" w:hAnsi="Times New Roman" w:cs="Times New Roman"/>
          <w:sz w:val="24"/>
          <w:szCs w:val="24"/>
          <w:lang w:val="en-US"/>
        </w:rPr>
        <w:t>state-owned corporations</w:t>
      </w:r>
      <w:r w:rsidR="000347C9">
        <w:rPr>
          <w:rFonts w:ascii="Times New Roman" w:hAnsi="Times New Roman" w:cs="Times New Roman"/>
          <w:sz w:val="24"/>
          <w:szCs w:val="24"/>
          <w:lang w:val="en-US"/>
        </w:rPr>
        <w:t>, the capital city of Budapest and some other towns</w:t>
      </w:r>
      <w:r w:rsidR="00A16968">
        <w:rPr>
          <w:rFonts w:ascii="Times New Roman" w:hAnsi="Times New Roman" w:cs="Times New Roman"/>
          <w:sz w:val="24"/>
          <w:szCs w:val="24"/>
          <w:lang w:val="en-US"/>
        </w:rPr>
        <w:t xml:space="preserve">.   </w:t>
      </w:r>
      <w:r w:rsidR="00A16968" w:rsidRPr="00A16968">
        <w:rPr>
          <w:rFonts w:ascii="Times New Roman" w:hAnsi="Times New Roman" w:cs="Times New Roman"/>
          <w:sz w:val="24"/>
          <w:szCs w:val="24"/>
          <w:lang w:val="en-US"/>
        </w:rPr>
        <w:t xml:space="preserve"> </w:t>
      </w:r>
      <w:r w:rsidR="00C54CF8">
        <w:rPr>
          <w:rFonts w:ascii="Times New Roman" w:hAnsi="Times New Roman" w:cs="Times New Roman"/>
          <w:sz w:val="24"/>
          <w:szCs w:val="24"/>
          <w:lang w:val="en-US"/>
        </w:rPr>
        <w:t xml:space="preserve">Thus, a correct analysis would require </w:t>
      </w:r>
      <w:r w:rsidR="00204F00">
        <w:rPr>
          <w:rFonts w:ascii="Times New Roman" w:hAnsi="Times New Roman" w:cs="Times New Roman"/>
          <w:sz w:val="24"/>
          <w:szCs w:val="24"/>
          <w:lang w:val="en-US"/>
        </w:rPr>
        <w:t xml:space="preserve">a systematic </w:t>
      </w:r>
      <w:r w:rsidR="00C54CF8">
        <w:rPr>
          <w:rFonts w:ascii="Times New Roman" w:hAnsi="Times New Roman" w:cs="Times New Roman"/>
          <w:sz w:val="24"/>
          <w:szCs w:val="24"/>
          <w:lang w:val="en-US"/>
        </w:rPr>
        <w:t xml:space="preserve">data </w:t>
      </w:r>
      <w:r w:rsidR="00204F00">
        <w:rPr>
          <w:rFonts w:ascii="Times New Roman" w:hAnsi="Times New Roman" w:cs="Times New Roman"/>
          <w:sz w:val="24"/>
          <w:szCs w:val="24"/>
          <w:lang w:val="en-US"/>
        </w:rPr>
        <w:t xml:space="preserve">collection </w:t>
      </w:r>
      <w:r w:rsidR="00C54CF8">
        <w:rPr>
          <w:rFonts w:ascii="Times New Roman" w:hAnsi="Times New Roman" w:cs="Times New Roman"/>
          <w:sz w:val="24"/>
          <w:szCs w:val="24"/>
          <w:lang w:val="en-US"/>
        </w:rPr>
        <w:t>from all the above mentioned institutions pertaining to government-initiated asset purchases.</w:t>
      </w:r>
    </w:p>
    <w:p w:rsidR="00265113" w:rsidRDefault="00A16968" w:rsidP="00011525">
      <w:pPr>
        <w:spacing w:line="360" w:lineRule="auto"/>
        <w:jc w:val="both"/>
        <w:rPr>
          <w:rFonts w:ascii="Times New Roman" w:hAnsi="Times New Roman" w:cs="Times New Roman"/>
          <w:sz w:val="24"/>
          <w:szCs w:val="24"/>
          <w:lang w:val="en-US"/>
        </w:rPr>
      </w:pPr>
      <w:r w:rsidRPr="00A16968">
        <w:rPr>
          <w:rFonts w:ascii="Times New Roman" w:hAnsi="Times New Roman" w:cs="Times New Roman"/>
          <w:sz w:val="24"/>
          <w:szCs w:val="24"/>
          <w:lang w:val="en-US"/>
        </w:rPr>
        <w:t>Another major problem is the way the deals are structured.  Often the initial purchase price for which the state buys the companies’ equity is relatively small, compared to the size of future payment obligations in the form of debt and restructuring costs.</w:t>
      </w:r>
      <w:r>
        <w:rPr>
          <w:rFonts w:ascii="Times New Roman" w:hAnsi="Times New Roman" w:cs="Times New Roman"/>
          <w:sz w:val="24"/>
          <w:szCs w:val="24"/>
          <w:lang w:val="en-US"/>
        </w:rPr>
        <w:t xml:space="preserve">  Since other papers in the present volume of this journal (Voszka, Szanyi) give a detailed qualitative assessment of the </w:t>
      </w:r>
      <w:r>
        <w:rPr>
          <w:rFonts w:ascii="Times New Roman" w:hAnsi="Times New Roman" w:cs="Times New Roman"/>
          <w:sz w:val="24"/>
          <w:szCs w:val="24"/>
          <w:lang w:val="en-US"/>
        </w:rPr>
        <w:lastRenderedPageBreak/>
        <w:t xml:space="preserve">ongoing Hungarian renationalization campaign, the present author will limit its own version of the same story to two tables </w:t>
      </w:r>
      <w:r w:rsidR="006145DE">
        <w:rPr>
          <w:rFonts w:ascii="Times New Roman" w:hAnsi="Times New Roman" w:cs="Times New Roman"/>
          <w:sz w:val="24"/>
          <w:szCs w:val="24"/>
          <w:lang w:val="en-US"/>
        </w:rPr>
        <w:t xml:space="preserve">and a few short comments, </w:t>
      </w:r>
      <w:r>
        <w:rPr>
          <w:rFonts w:ascii="Times New Roman" w:hAnsi="Times New Roman" w:cs="Times New Roman"/>
          <w:sz w:val="24"/>
          <w:szCs w:val="24"/>
          <w:lang w:val="en-US"/>
        </w:rPr>
        <w:t>only.</w:t>
      </w:r>
      <w:r w:rsidR="00F03707">
        <w:rPr>
          <w:rStyle w:val="FootnoteReference"/>
          <w:rFonts w:ascii="Times New Roman" w:hAnsi="Times New Roman" w:cs="Times New Roman"/>
          <w:sz w:val="24"/>
          <w:szCs w:val="24"/>
          <w:lang w:val="en-US"/>
        </w:rPr>
        <w:footnoteReference w:id="10"/>
      </w:r>
    </w:p>
    <w:p w:rsidR="004136B0" w:rsidRPr="00BF4B53" w:rsidRDefault="004136B0" w:rsidP="00011525">
      <w:pPr>
        <w:spacing w:line="360" w:lineRule="auto"/>
        <w:jc w:val="both"/>
        <w:rPr>
          <w:rFonts w:ascii="Times New Roman" w:hAnsi="Times New Roman" w:cs="Times New Roman"/>
          <w:smallCaps/>
          <w:sz w:val="24"/>
          <w:szCs w:val="24"/>
          <w:lang w:val="en-US"/>
        </w:rPr>
      </w:pPr>
      <w:r w:rsidRPr="00265113">
        <w:rPr>
          <w:rFonts w:ascii="Times New Roman" w:hAnsi="Times New Roman" w:cs="Times New Roman"/>
          <w:b/>
          <w:smallCaps/>
          <w:sz w:val="24"/>
          <w:szCs w:val="24"/>
          <w:lang w:val="en-US"/>
        </w:rPr>
        <w:t>TABLE 2</w:t>
      </w:r>
      <w:r w:rsidRPr="00BF4B53">
        <w:rPr>
          <w:rFonts w:ascii="Times New Roman" w:hAnsi="Times New Roman" w:cs="Times New Roman"/>
          <w:smallCaps/>
          <w:sz w:val="24"/>
          <w:szCs w:val="24"/>
          <w:lang w:val="en-US"/>
        </w:rPr>
        <w:t xml:space="preserve">:  Renationalizations in Hungary, 2010 – 2016  </w:t>
      </w:r>
    </w:p>
    <w:p w:rsidR="004136B0" w:rsidRDefault="00F03707" w:rsidP="00D619E0">
      <w:pPr>
        <w:spacing w:line="360" w:lineRule="auto"/>
        <w:jc w:val="both"/>
        <w:rPr>
          <w:rFonts w:ascii="Times New Roman" w:hAnsi="Times New Roman" w:cs="Times New Roman"/>
          <w:sz w:val="24"/>
          <w:szCs w:val="24"/>
          <w:lang w:val="en-US"/>
        </w:rPr>
      </w:pPr>
      <w:r w:rsidRPr="003D3A46">
        <w:rPr>
          <w:rFonts w:ascii="Times New Roman" w:hAnsi="Times New Roman" w:cs="Times New Roman"/>
          <w:sz w:val="24"/>
          <w:szCs w:val="24"/>
          <w:lang w:val="en-US"/>
        </w:rPr>
        <w:object w:dxaOrig="8366" w:dyaOrig="7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369pt" o:ole="">
            <v:imagedata r:id="rId12" o:title=""/>
          </v:shape>
          <o:OLEObject Type="Embed" ProgID="Excel.Sheet.12" ShapeID="_x0000_i1025" DrawAspect="Content" ObjectID="_1536555849" r:id="rId13"/>
        </w:object>
      </w:r>
    </w:p>
    <w:p w:rsidR="004136B0" w:rsidRPr="004136B0" w:rsidRDefault="004136B0" w:rsidP="00D619E0">
      <w:pPr>
        <w:spacing w:line="360" w:lineRule="auto"/>
        <w:jc w:val="both"/>
        <w:rPr>
          <w:rFonts w:ascii="Times New Roman" w:hAnsi="Times New Roman" w:cs="Times New Roman"/>
          <w:sz w:val="20"/>
          <w:szCs w:val="20"/>
        </w:rPr>
      </w:pPr>
      <w:r w:rsidRPr="004136B0">
        <w:rPr>
          <w:rFonts w:ascii="Times New Roman" w:hAnsi="Times New Roman" w:cs="Times New Roman"/>
          <w:b/>
          <w:sz w:val="20"/>
          <w:szCs w:val="20"/>
          <w:lang w:val="en-US"/>
        </w:rPr>
        <w:t>Notes</w:t>
      </w:r>
      <w:r w:rsidRPr="004136B0">
        <w:rPr>
          <w:rFonts w:ascii="Times New Roman" w:hAnsi="Times New Roman" w:cs="Times New Roman"/>
          <w:sz w:val="20"/>
          <w:szCs w:val="20"/>
          <w:lang w:val="en-US"/>
        </w:rPr>
        <w:t>:  * All known transactions executed by public authorities, including local governments.</w:t>
      </w:r>
      <w:r w:rsidR="00C54CF8">
        <w:rPr>
          <w:rFonts w:ascii="Times New Roman" w:hAnsi="Times New Roman" w:cs="Times New Roman"/>
          <w:sz w:val="20"/>
          <w:szCs w:val="20"/>
          <w:lang w:val="en-US"/>
        </w:rPr>
        <w:t xml:space="preserve"> Exchange rate as of 1 July, 2016: HUF 317 = 1 €.</w:t>
      </w:r>
    </w:p>
    <w:p w:rsidR="004136B0" w:rsidRPr="004136B0" w:rsidRDefault="004136B0" w:rsidP="00D619E0">
      <w:pPr>
        <w:spacing w:line="360" w:lineRule="auto"/>
        <w:jc w:val="both"/>
        <w:rPr>
          <w:rFonts w:ascii="Times New Roman" w:hAnsi="Times New Roman" w:cs="Times New Roman"/>
          <w:sz w:val="20"/>
          <w:szCs w:val="20"/>
          <w:lang w:val="en-US"/>
        </w:rPr>
      </w:pPr>
      <w:r w:rsidRPr="004136B0">
        <w:rPr>
          <w:rFonts w:ascii="Times New Roman" w:hAnsi="Times New Roman" w:cs="Times New Roman"/>
          <w:b/>
          <w:sz w:val="20"/>
          <w:szCs w:val="20"/>
          <w:lang w:val="en-US"/>
        </w:rPr>
        <w:t>Source</w:t>
      </w:r>
      <w:r w:rsidRPr="004136B0">
        <w:rPr>
          <w:rFonts w:ascii="Times New Roman" w:hAnsi="Times New Roman" w:cs="Times New Roman"/>
          <w:sz w:val="20"/>
          <w:szCs w:val="20"/>
          <w:lang w:val="en-US"/>
        </w:rPr>
        <w:t xml:space="preserve">:  Data collected jointly by the author and Éva Voszka.   </w:t>
      </w:r>
    </w:p>
    <w:p w:rsidR="00BF4B53" w:rsidRDefault="00BF4B53">
      <w:pPr>
        <w:rPr>
          <w:rFonts w:ascii="Times New Roman" w:hAnsi="Times New Roman" w:cs="Times New Roman"/>
          <w:smallCaps/>
          <w:sz w:val="24"/>
          <w:szCs w:val="24"/>
          <w:lang w:val="en-US"/>
        </w:rPr>
      </w:pPr>
      <w:r>
        <w:rPr>
          <w:rFonts w:ascii="Times New Roman" w:hAnsi="Times New Roman" w:cs="Times New Roman"/>
          <w:smallCaps/>
          <w:sz w:val="24"/>
          <w:szCs w:val="24"/>
          <w:lang w:val="en-US"/>
        </w:rPr>
        <w:br w:type="page"/>
      </w:r>
    </w:p>
    <w:p w:rsidR="0054765F" w:rsidRPr="00BF4B53" w:rsidRDefault="0054765F" w:rsidP="00BF4B53">
      <w:pPr>
        <w:spacing w:line="240" w:lineRule="auto"/>
        <w:jc w:val="both"/>
        <w:rPr>
          <w:rFonts w:ascii="Times New Roman" w:hAnsi="Times New Roman" w:cs="Times New Roman"/>
          <w:smallCaps/>
          <w:sz w:val="24"/>
          <w:szCs w:val="24"/>
          <w:lang w:val="en-US"/>
        </w:rPr>
      </w:pPr>
      <w:r w:rsidRPr="00265113">
        <w:rPr>
          <w:rFonts w:ascii="Times New Roman" w:hAnsi="Times New Roman" w:cs="Times New Roman"/>
          <w:b/>
          <w:smallCaps/>
          <w:sz w:val="24"/>
          <w:szCs w:val="24"/>
          <w:lang w:val="en-US"/>
        </w:rPr>
        <w:lastRenderedPageBreak/>
        <w:t>TABLE 3</w:t>
      </w:r>
      <w:r w:rsidRPr="00BF4B53">
        <w:rPr>
          <w:rFonts w:ascii="Times New Roman" w:hAnsi="Times New Roman" w:cs="Times New Roman"/>
          <w:smallCaps/>
          <w:sz w:val="24"/>
          <w:szCs w:val="24"/>
          <w:lang w:val="en-US"/>
        </w:rPr>
        <w:t xml:space="preserve">:  Renationalization deals in Hungary according to the national origin of the seller company, 2010 – 2016  </w:t>
      </w:r>
    </w:p>
    <w:p w:rsidR="0054765F" w:rsidRDefault="0054765F" w:rsidP="0054765F">
      <w:pPr>
        <w:spacing w:line="360" w:lineRule="auto"/>
        <w:jc w:val="both"/>
        <w:rPr>
          <w:rFonts w:ascii="Times New Roman" w:hAnsi="Times New Roman" w:cs="Times New Roman"/>
          <w:sz w:val="24"/>
          <w:szCs w:val="24"/>
          <w:lang w:val="en-US"/>
        </w:rPr>
      </w:pPr>
      <w:r w:rsidRPr="003D3A46">
        <w:rPr>
          <w:rFonts w:ascii="Times New Roman" w:hAnsi="Times New Roman" w:cs="Times New Roman"/>
          <w:sz w:val="24"/>
          <w:szCs w:val="24"/>
          <w:lang w:val="en-US"/>
        </w:rPr>
        <w:object w:dxaOrig="4937" w:dyaOrig="5256">
          <v:shape id="_x0000_i1026" type="#_x0000_t75" style="width:246.75pt;height:263.25pt" o:ole="">
            <v:imagedata r:id="rId14" o:title=""/>
          </v:shape>
          <o:OLEObject Type="Embed" ProgID="Excel.Sheet.12" ShapeID="_x0000_i1026" DrawAspect="Content" ObjectID="_1536555850" r:id="rId15"/>
        </w:object>
      </w:r>
    </w:p>
    <w:p w:rsidR="0054765F" w:rsidRPr="0054765F" w:rsidRDefault="0054765F" w:rsidP="00D619E0">
      <w:pPr>
        <w:spacing w:line="360" w:lineRule="auto"/>
        <w:jc w:val="both"/>
        <w:rPr>
          <w:rFonts w:ascii="Times New Roman" w:hAnsi="Times New Roman" w:cs="Times New Roman"/>
          <w:sz w:val="20"/>
          <w:szCs w:val="20"/>
          <w:lang w:val="en-US"/>
        </w:rPr>
      </w:pPr>
      <w:r w:rsidRPr="0054765F">
        <w:rPr>
          <w:rFonts w:ascii="Times New Roman" w:hAnsi="Times New Roman" w:cs="Times New Roman"/>
          <w:b/>
          <w:sz w:val="20"/>
          <w:szCs w:val="20"/>
          <w:lang w:val="en-US"/>
        </w:rPr>
        <w:t>Note</w:t>
      </w:r>
      <w:r w:rsidRPr="0054765F">
        <w:rPr>
          <w:rFonts w:ascii="Times New Roman" w:hAnsi="Times New Roman" w:cs="Times New Roman"/>
          <w:sz w:val="20"/>
          <w:szCs w:val="20"/>
          <w:lang w:val="en-US"/>
        </w:rPr>
        <w:t>: * All known transactions executed by public authorities, including local governments.  Without moveable and immoveable properties.</w:t>
      </w:r>
    </w:p>
    <w:p w:rsidR="0054765F" w:rsidRPr="0054765F" w:rsidRDefault="0054765F" w:rsidP="00D619E0">
      <w:pPr>
        <w:spacing w:line="360" w:lineRule="auto"/>
        <w:jc w:val="both"/>
        <w:rPr>
          <w:rFonts w:ascii="Times New Roman" w:hAnsi="Times New Roman" w:cs="Times New Roman"/>
          <w:sz w:val="20"/>
          <w:szCs w:val="20"/>
          <w:lang w:val="en-US"/>
        </w:rPr>
      </w:pPr>
      <w:r w:rsidRPr="0054765F">
        <w:rPr>
          <w:rFonts w:ascii="Times New Roman" w:hAnsi="Times New Roman" w:cs="Times New Roman"/>
          <w:b/>
          <w:sz w:val="20"/>
          <w:szCs w:val="20"/>
          <w:lang w:val="en-US"/>
        </w:rPr>
        <w:t>Source</w:t>
      </w:r>
      <w:r w:rsidRPr="0054765F">
        <w:rPr>
          <w:rFonts w:ascii="Times New Roman" w:hAnsi="Times New Roman" w:cs="Times New Roman"/>
          <w:sz w:val="20"/>
          <w:szCs w:val="20"/>
          <w:lang w:val="en-US"/>
        </w:rPr>
        <w:t xml:space="preserve">: See </w:t>
      </w:r>
      <w:r w:rsidRPr="00265113">
        <w:rPr>
          <w:rFonts w:ascii="Times New Roman" w:hAnsi="Times New Roman" w:cs="Times New Roman"/>
          <w:smallCaps/>
          <w:sz w:val="20"/>
          <w:szCs w:val="20"/>
          <w:lang w:val="en-US"/>
        </w:rPr>
        <w:t>Table 2</w:t>
      </w:r>
      <w:r w:rsidRPr="0054765F">
        <w:rPr>
          <w:rFonts w:ascii="Times New Roman" w:hAnsi="Times New Roman" w:cs="Times New Roman"/>
          <w:sz w:val="20"/>
          <w:szCs w:val="20"/>
          <w:lang w:val="en-US"/>
        </w:rPr>
        <w:t>.</w:t>
      </w:r>
    </w:p>
    <w:p w:rsidR="00A16968" w:rsidRPr="004136B0" w:rsidRDefault="00A16968" w:rsidP="00A16968">
      <w:pPr>
        <w:spacing w:line="360" w:lineRule="auto"/>
        <w:jc w:val="both"/>
        <w:rPr>
          <w:rFonts w:ascii="Times New Roman" w:hAnsi="Times New Roman" w:cs="Times New Roman"/>
          <w:sz w:val="24"/>
          <w:szCs w:val="24"/>
          <w:lang w:val="en-US"/>
        </w:rPr>
      </w:pPr>
      <w:r w:rsidRPr="004136B0">
        <w:rPr>
          <w:rFonts w:ascii="Times New Roman" w:hAnsi="Times New Roman" w:cs="Times New Roman"/>
          <w:sz w:val="24"/>
          <w:szCs w:val="24"/>
          <w:lang w:val="en-US"/>
        </w:rPr>
        <w:t>Even before Orbán became Prime Minister in 2010</w:t>
      </w:r>
      <w:r w:rsidR="000347C9">
        <w:rPr>
          <w:rFonts w:ascii="Times New Roman" w:hAnsi="Times New Roman" w:cs="Times New Roman"/>
          <w:sz w:val="24"/>
          <w:szCs w:val="24"/>
          <w:lang w:val="en-US"/>
        </w:rPr>
        <w:t xml:space="preserve"> at the second time</w:t>
      </w:r>
      <w:r w:rsidRPr="004136B0">
        <w:rPr>
          <w:rFonts w:ascii="Times New Roman" w:hAnsi="Times New Roman" w:cs="Times New Roman"/>
          <w:sz w:val="24"/>
          <w:szCs w:val="24"/>
          <w:lang w:val="en-US"/>
        </w:rPr>
        <w:t>, he did not hide his re-nationalization plans.  As the unquestionable leader of the opposition</w:t>
      </w:r>
      <w:r w:rsidR="00DB711F">
        <w:rPr>
          <w:rFonts w:ascii="Times New Roman" w:hAnsi="Times New Roman" w:cs="Times New Roman"/>
          <w:sz w:val="24"/>
          <w:szCs w:val="24"/>
          <w:lang w:val="en-US"/>
        </w:rPr>
        <w:t xml:space="preserve"> since 1998</w:t>
      </w:r>
      <w:r w:rsidR="00716E22" w:rsidRPr="002114A2">
        <w:rPr>
          <w:rStyle w:val="FootnoteReference"/>
          <w:rFonts w:ascii="Times New Roman" w:hAnsi="Times New Roman" w:cs="Times New Roman"/>
          <w:sz w:val="24"/>
          <w:szCs w:val="24"/>
          <w:lang w:val="en-GB"/>
        </w:rPr>
        <w:footnoteReference w:id="11"/>
      </w:r>
      <w:r w:rsidRPr="004136B0">
        <w:rPr>
          <w:rFonts w:ascii="Times New Roman" w:hAnsi="Times New Roman" w:cs="Times New Roman"/>
          <w:sz w:val="24"/>
          <w:szCs w:val="24"/>
          <w:lang w:val="en-US"/>
        </w:rPr>
        <w:t>, he systematically opposed any newly emerging privatization proposal</w:t>
      </w:r>
      <w:r w:rsidR="000347C9">
        <w:rPr>
          <w:rFonts w:ascii="Times New Roman" w:hAnsi="Times New Roman" w:cs="Times New Roman"/>
          <w:sz w:val="24"/>
          <w:szCs w:val="24"/>
          <w:lang w:val="en-US"/>
        </w:rPr>
        <w:t xml:space="preserve"> and declared that the post-socialist privatization had been already completed by 1995, and there is nothing more to sell.  </w:t>
      </w:r>
      <w:r w:rsidRPr="004136B0">
        <w:rPr>
          <w:rFonts w:ascii="Times New Roman" w:hAnsi="Times New Roman" w:cs="Times New Roman"/>
          <w:sz w:val="24"/>
          <w:szCs w:val="24"/>
          <w:lang w:val="en-US"/>
        </w:rPr>
        <w:t xml:space="preserve"> With the benefit of hindsight, it is clear that this criticism was politically effective </w:t>
      </w:r>
      <w:r w:rsidR="00F03707">
        <w:rPr>
          <w:rFonts w:ascii="Times New Roman" w:hAnsi="Times New Roman" w:cs="Times New Roman"/>
          <w:sz w:val="24"/>
          <w:szCs w:val="24"/>
          <w:lang w:val="en-US"/>
        </w:rPr>
        <w:t xml:space="preserve">partly </w:t>
      </w:r>
      <w:r w:rsidRPr="004136B0">
        <w:rPr>
          <w:rFonts w:ascii="Times New Roman" w:hAnsi="Times New Roman" w:cs="Times New Roman"/>
          <w:sz w:val="24"/>
          <w:szCs w:val="24"/>
          <w:lang w:val="en-US"/>
        </w:rPr>
        <w:t>because the ruling Socialist Party displayed a half-hearted attitude towards privatization</w:t>
      </w:r>
      <w:r w:rsidR="000347C9">
        <w:rPr>
          <w:rFonts w:ascii="Times New Roman" w:hAnsi="Times New Roman" w:cs="Times New Roman"/>
          <w:sz w:val="24"/>
          <w:szCs w:val="24"/>
          <w:lang w:val="en-US"/>
        </w:rPr>
        <w:t xml:space="preserve"> ever since 1989. </w:t>
      </w:r>
      <w:r w:rsidRPr="004136B0">
        <w:rPr>
          <w:rFonts w:ascii="Times New Roman" w:hAnsi="Times New Roman" w:cs="Times New Roman"/>
          <w:sz w:val="24"/>
          <w:szCs w:val="24"/>
          <w:lang w:val="en-US"/>
        </w:rPr>
        <w:t xml:space="preserve">  In many cases, when the future of entire industries was discussed in Parliament, the anti-market creed of Fidesz and </w:t>
      </w:r>
      <w:r w:rsidR="00DB711F">
        <w:rPr>
          <w:rFonts w:ascii="Times New Roman" w:hAnsi="Times New Roman" w:cs="Times New Roman"/>
          <w:sz w:val="24"/>
          <w:szCs w:val="24"/>
          <w:lang w:val="en-US"/>
        </w:rPr>
        <w:t xml:space="preserve">that of </w:t>
      </w:r>
      <w:r w:rsidRPr="004136B0">
        <w:rPr>
          <w:rFonts w:ascii="Times New Roman" w:hAnsi="Times New Roman" w:cs="Times New Roman"/>
          <w:sz w:val="24"/>
          <w:szCs w:val="24"/>
          <w:lang w:val="en-US"/>
        </w:rPr>
        <w:t>the Socialist Part were actually very close to each other.   The mutual understanding and cooperation w</w:t>
      </w:r>
      <w:r w:rsidR="006145DE">
        <w:rPr>
          <w:rFonts w:ascii="Times New Roman" w:hAnsi="Times New Roman" w:cs="Times New Roman"/>
          <w:sz w:val="24"/>
          <w:szCs w:val="24"/>
          <w:lang w:val="en-US"/>
        </w:rPr>
        <w:t>ere</w:t>
      </w:r>
      <w:r w:rsidRPr="004136B0">
        <w:rPr>
          <w:rFonts w:ascii="Times New Roman" w:hAnsi="Times New Roman" w:cs="Times New Roman"/>
          <w:sz w:val="24"/>
          <w:szCs w:val="24"/>
          <w:lang w:val="en-US"/>
        </w:rPr>
        <w:t xml:space="preserve"> most noticeable in the energy and the banking sectors.</w:t>
      </w:r>
      <w:r>
        <w:rPr>
          <w:rFonts w:ascii="Times New Roman" w:hAnsi="Times New Roman" w:cs="Times New Roman"/>
          <w:sz w:val="24"/>
          <w:szCs w:val="24"/>
          <w:lang w:val="en-US"/>
        </w:rPr>
        <w:t xml:space="preserve">   Therefore, it is not surprising that these two sectors alone represent 70 per cent of the </w:t>
      </w:r>
      <w:r w:rsidR="00DB711F">
        <w:rPr>
          <w:rFonts w:ascii="Times New Roman" w:hAnsi="Times New Roman" w:cs="Times New Roman"/>
          <w:sz w:val="24"/>
          <w:szCs w:val="24"/>
          <w:lang w:val="en-US"/>
        </w:rPr>
        <w:t xml:space="preserve">renationalization </w:t>
      </w:r>
      <w:r>
        <w:rPr>
          <w:rFonts w:ascii="Times New Roman" w:hAnsi="Times New Roman" w:cs="Times New Roman"/>
          <w:sz w:val="24"/>
          <w:szCs w:val="24"/>
          <w:lang w:val="en-US"/>
        </w:rPr>
        <w:t>deals in nominal terms</w:t>
      </w:r>
      <w:r w:rsidR="00F03707">
        <w:rPr>
          <w:rFonts w:ascii="Times New Roman" w:hAnsi="Times New Roman" w:cs="Times New Roman"/>
          <w:sz w:val="24"/>
          <w:szCs w:val="24"/>
          <w:lang w:val="en-US"/>
        </w:rPr>
        <w:t xml:space="preserve"> (</w:t>
      </w:r>
      <w:r w:rsidR="00F03707" w:rsidRPr="00265113">
        <w:rPr>
          <w:rFonts w:ascii="Times New Roman" w:hAnsi="Times New Roman" w:cs="Times New Roman"/>
          <w:smallCaps/>
          <w:sz w:val="24"/>
          <w:szCs w:val="24"/>
          <w:lang w:val="en-US"/>
        </w:rPr>
        <w:t>TABLE 2</w:t>
      </w:r>
      <w:r w:rsidR="00F03707">
        <w:rPr>
          <w:rFonts w:ascii="Times New Roman" w:hAnsi="Times New Roman" w:cs="Times New Roman"/>
          <w:sz w:val="24"/>
          <w:szCs w:val="24"/>
          <w:lang w:val="en-US"/>
        </w:rPr>
        <w:t>)</w:t>
      </w:r>
      <w:r>
        <w:rPr>
          <w:rFonts w:ascii="Times New Roman" w:hAnsi="Times New Roman" w:cs="Times New Roman"/>
          <w:sz w:val="24"/>
          <w:szCs w:val="24"/>
          <w:lang w:val="en-US"/>
        </w:rPr>
        <w:t>.</w:t>
      </w:r>
    </w:p>
    <w:p w:rsidR="0054765F" w:rsidRDefault="0054765F" w:rsidP="00D619E0">
      <w:pPr>
        <w:spacing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 xml:space="preserve">As the two tables above reveal, </w:t>
      </w:r>
      <w:r w:rsidR="00A16968">
        <w:rPr>
          <w:rFonts w:ascii="Times New Roman" w:hAnsi="Times New Roman" w:cs="Times New Roman"/>
          <w:sz w:val="24"/>
          <w:szCs w:val="24"/>
          <w:lang w:val="en-US"/>
        </w:rPr>
        <w:t xml:space="preserve">more than 80 per cent </w:t>
      </w:r>
      <w:r>
        <w:rPr>
          <w:rFonts w:ascii="Times New Roman" w:hAnsi="Times New Roman" w:cs="Times New Roman"/>
          <w:sz w:val="24"/>
          <w:szCs w:val="24"/>
          <w:lang w:val="en-US"/>
        </w:rPr>
        <w:t>of the renationalization deals affected foreign companies fully in line with the nationalistic credo of Prime Minister Orbán.  In terms of nationality, the most important foreign sellers were Russian companies</w:t>
      </w:r>
      <w:r w:rsidR="006145DE">
        <w:rPr>
          <w:rFonts w:ascii="Times New Roman" w:hAnsi="Times New Roman" w:cs="Times New Roman"/>
          <w:sz w:val="24"/>
          <w:szCs w:val="24"/>
          <w:lang w:val="en-US"/>
        </w:rPr>
        <w:t xml:space="preserve">. To </w:t>
      </w:r>
      <w:r>
        <w:rPr>
          <w:rFonts w:ascii="Times New Roman" w:hAnsi="Times New Roman" w:cs="Times New Roman"/>
          <w:sz w:val="24"/>
          <w:szCs w:val="24"/>
          <w:lang w:val="en-US"/>
        </w:rPr>
        <w:t>be more precise</w:t>
      </w:r>
      <w:r w:rsidR="006145D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145DE">
        <w:rPr>
          <w:rFonts w:ascii="Times New Roman" w:hAnsi="Times New Roman" w:cs="Times New Roman"/>
          <w:sz w:val="24"/>
          <w:szCs w:val="24"/>
          <w:lang w:val="en-US"/>
        </w:rPr>
        <w:t xml:space="preserve">there was only one really large deal with Russia: the Hungarian privatization company </w:t>
      </w:r>
      <w:r w:rsidR="00F03707">
        <w:rPr>
          <w:rFonts w:ascii="Times New Roman" w:hAnsi="Times New Roman" w:cs="Times New Roman"/>
          <w:sz w:val="24"/>
          <w:szCs w:val="24"/>
          <w:lang w:val="en-US"/>
        </w:rPr>
        <w:t xml:space="preserve">in 2011 </w:t>
      </w:r>
      <w:r w:rsidR="006145DE">
        <w:rPr>
          <w:rFonts w:ascii="Times New Roman" w:hAnsi="Times New Roman" w:cs="Times New Roman"/>
          <w:sz w:val="24"/>
          <w:szCs w:val="24"/>
          <w:lang w:val="en-US"/>
        </w:rPr>
        <w:t>re-purchased 22% of the shares of the Hungarian Oil and Gas Company (MOL)</w:t>
      </w:r>
      <w:r w:rsidR="006145DE">
        <w:rPr>
          <w:rStyle w:val="FootnoteReference"/>
          <w:rFonts w:ascii="Times New Roman" w:hAnsi="Times New Roman" w:cs="Times New Roman"/>
          <w:sz w:val="24"/>
          <w:szCs w:val="24"/>
          <w:lang w:val="en-US"/>
        </w:rPr>
        <w:footnoteReference w:id="12"/>
      </w:r>
      <w:r w:rsidR="006145DE">
        <w:rPr>
          <w:rFonts w:ascii="Times New Roman" w:hAnsi="Times New Roman" w:cs="Times New Roman"/>
          <w:sz w:val="24"/>
          <w:szCs w:val="24"/>
          <w:lang w:val="en-US"/>
        </w:rPr>
        <w:t xml:space="preserve"> from </w:t>
      </w:r>
      <w:r w:rsidR="00A16968" w:rsidRPr="00B52446">
        <w:rPr>
          <w:rFonts w:ascii="Times New Roman" w:hAnsi="Times New Roman" w:cs="Times New Roman"/>
          <w:i/>
          <w:sz w:val="24"/>
          <w:szCs w:val="24"/>
          <w:lang w:val="en-US"/>
        </w:rPr>
        <w:t>S</w:t>
      </w:r>
      <w:r w:rsidR="00B52446" w:rsidRPr="00B52446">
        <w:rPr>
          <w:rFonts w:ascii="Times New Roman" w:hAnsi="Times New Roman" w:cs="Times New Roman"/>
          <w:i/>
          <w:sz w:val="24"/>
          <w:szCs w:val="24"/>
          <w:lang w:val="en-US"/>
        </w:rPr>
        <w:t>urgut</w:t>
      </w:r>
      <w:r w:rsidR="00A16968" w:rsidRPr="00B52446">
        <w:rPr>
          <w:rFonts w:ascii="Times New Roman" w:hAnsi="Times New Roman" w:cs="Times New Roman"/>
          <w:i/>
          <w:sz w:val="24"/>
          <w:szCs w:val="24"/>
          <w:lang w:val="en-US"/>
        </w:rPr>
        <w:t>neftegaz</w:t>
      </w:r>
      <w:r w:rsidR="006145DE">
        <w:rPr>
          <w:rFonts w:ascii="Times New Roman" w:hAnsi="Times New Roman" w:cs="Times New Roman"/>
          <w:i/>
          <w:sz w:val="24"/>
          <w:szCs w:val="24"/>
          <w:lang w:val="en-US"/>
        </w:rPr>
        <w:t xml:space="preserve">. </w:t>
      </w:r>
    </w:p>
    <w:p w:rsidR="00BF4B53" w:rsidRPr="00A16968" w:rsidRDefault="00BF4B53" w:rsidP="00D619E0">
      <w:pPr>
        <w:spacing w:line="360" w:lineRule="auto"/>
        <w:jc w:val="both"/>
        <w:rPr>
          <w:rFonts w:ascii="Times New Roman" w:hAnsi="Times New Roman" w:cs="Times New Roman"/>
          <w:sz w:val="24"/>
          <w:szCs w:val="24"/>
        </w:rPr>
      </w:pPr>
    </w:p>
    <w:p w:rsidR="00D619E0" w:rsidRDefault="00D619E0" w:rsidP="00B52446">
      <w:pPr>
        <w:spacing w:line="360" w:lineRule="auto"/>
        <w:jc w:val="both"/>
        <w:rPr>
          <w:lang w:val="en-US"/>
        </w:rPr>
      </w:pPr>
      <w:r w:rsidRPr="00B52446">
        <w:rPr>
          <w:rFonts w:ascii="Times New Roman" w:hAnsi="Times New Roman" w:cs="Times New Roman"/>
          <w:i/>
          <w:sz w:val="24"/>
          <w:szCs w:val="24"/>
          <w:lang w:val="en-US"/>
        </w:rPr>
        <w:t>Soft deals and sweetheart deals.</w:t>
      </w:r>
      <w:r w:rsidRPr="00B52446">
        <w:rPr>
          <w:rFonts w:ascii="Times New Roman" w:hAnsi="Times New Roman" w:cs="Times New Roman"/>
          <w:sz w:val="24"/>
          <w:szCs w:val="24"/>
          <w:lang w:val="en-US"/>
        </w:rPr>
        <w:t xml:space="preserve">   At first glance, the large number of firm re-nationalizations </w:t>
      </w:r>
      <w:r w:rsidR="00B52446">
        <w:rPr>
          <w:rFonts w:ascii="Times New Roman" w:hAnsi="Times New Roman" w:cs="Times New Roman"/>
          <w:sz w:val="24"/>
          <w:szCs w:val="24"/>
          <w:lang w:val="en-US"/>
        </w:rPr>
        <w:t xml:space="preserve">may appear </w:t>
      </w:r>
      <w:r w:rsidRPr="00B52446">
        <w:rPr>
          <w:rFonts w:ascii="Times New Roman" w:hAnsi="Times New Roman" w:cs="Times New Roman"/>
          <w:sz w:val="24"/>
          <w:szCs w:val="24"/>
          <w:lang w:val="en-US"/>
        </w:rPr>
        <w:t>suicidal and therefore stupid, especially if and when foreign owners were affected.  After all, Hungary is not only a UN and EU member, but she is bound by bilateral investment treaties (BITs) some of which preceded the 1989 regime change.</w:t>
      </w:r>
      <w:r w:rsidRPr="00B52446">
        <w:rPr>
          <w:rStyle w:val="FootnoteReference"/>
          <w:rFonts w:ascii="Times New Roman" w:hAnsi="Times New Roman" w:cs="Times New Roman"/>
          <w:sz w:val="24"/>
          <w:szCs w:val="24"/>
          <w:lang w:val="en-US"/>
        </w:rPr>
        <w:footnoteReference w:id="13"/>
      </w:r>
      <w:r w:rsidRPr="00B52446">
        <w:rPr>
          <w:rFonts w:ascii="Times New Roman" w:hAnsi="Times New Roman" w:cs="Times New Roman"/>
          <w:sz w:val="24"/>
          <w:szCs w:val="24"/>
          <w:lang w:val="en-US"/>
        </w:rPr>
        <w:t xml:space="preserve">  However, after a close inspection of all the nationalization deals, we see that what happened was not a ferocious expropriation, but rather a “regulatory taking” in the language of Anglo-Saxon jurisprudence.  In economic terms, this is a policy with which the government regulates the use of a property to such a degree that the regulation effectively amounts to an exercise of the government's eminent domain power</w:t>
      </w:r>
      <w:r w:rsidRPr="00B52446">
        <w:rPr>
          <w:rStyle w:val="FootnoteReference"/>
          <w:rFonts w:ascii="Times New Roman" w:hAnsi="Times New Roman" w:cs="Times New Roman"/>
          <w:sz w:val="24"/>
          <w:szCs w:val="24"/>
          <w:lang w:val="en-US"/>
        </w:rPr>
        <w:footnoteReference w:id="14"/>
      </w:r>
      <w:r w:rsidRPr="00B52446">
        <w:rPr>
          <w:rFonts w:ascii="Times New Roman" w:hAnsi="Times New Roman" w:cs="Times New Roman"/>
          <w:sz w:val="24"/>
          <w:szCs w:val="24"/>
          <w:lang w:val="en-US"/>
        </w:rPr>
        <w:t xml:space="preserve"> without actually divesting the property's owner of title to the property.  Thus, what has been happening in Hungary under the Orbán regime is </w:t>
      </w:r>
      <w:r w:rsidRPr="00B52446">
        <w:rPr>
          <w:rFonts w:ascii="Times New Roman" w:hAnsi="Times New Roman" w:cs="Times New Roman"/>
          <w:b/>
          <w:sz w:val="24"/>
          <w:szCs w:val="24"/>
          <w:lang w:val="en-US"/>
        </w:rPr>
        <w:t xml:space="preserve">indirect coercion </w:t>
      </w:r>
      <w:r w:rsidRPr="00B52446">
        <w:rPr>
          <w:rFonts w:ascii="Times New Roman" w:hAnsi="Times New Roman" w:cs="Times New Roman"/>
          <w:sz w:val="24"/>
          <w:szCs w:val="24"/>
          <w:lang w:val="en-US"/>
        </w:rPr>
        <w:t>in everyday parlance, as a result of which most foreign owners find it more advantageous for themselves to sell their property to the Hungarian State rather than to absorb the losses arising from the newly enacted regulatory rules.  All this was not even hidden.  As early as 2005, when Mr. Orbán was still in opposition, he declared bluntly at a public rally: “</w:t>
      </w:r>
      <w:r w:rsidRPr="00B52446">
        <w:rPr>
          <w:rFonts w:ascii="Times New Roman" w:hAnsi="Times New Roman" w:cs="Times New Roman"/>
          <w:i/>
          <w:sz w:val="24"/>
          <w:szCs w:val="24"/>
          <w:lang w:val="en-US"/>
        </w:rPr>
        <w:t>We don’t need to be pusillanimous.  If a government tells someone, please return this property, the government’s word will have enough weight.</w:t>
      </w:r>
      <w:r w:rsidRPr="00B52446">
        <w:rPr>
          <w:rFonts w:ascii="Times New Roman" w:hAnsi="Times New Roman" w:cs="Times New Roman"/>
          <w:sz w:val="24"/>
          <w:szCs w:val="24"/>
          <w:lang w:val="en-US"/>
        </w:rPr>
        <w:t>”</w:t>
      </w:r>
      <w:r w:rsidRPr="00B52446">
        <w:rPr>
          <w:rStyle w:val="FootnoteReference"/>
          <w:rFonts w:ascii="Times New Roman" w:hAnsi="Times New Roman" w:cs="Times New Roman"/>
          <w:sz w:val="24"/>
          <w:szCs w:val="24"/>
          <w:lang w:val="en-US"/>
        </w:rPr>
        <w:footnoteReference w:id="15"/>
      </w:r>
      <w:r w:rsidR="00B52446">
        <w:rPr>
          <w:rFonts w:ascii="Times New Roman" w:hAnsi="Times New Roman" w:cs="Times New Roman"/>
          <w:sz w:val="24"/>
          <w:szCs w:val="24"/>
          <w:lang w:val="en-US"/>
        </w:rPr>
        <w:t xml:space="preserve">  </w:t>
      </w:r>
      <w:r w:rsidRPr="00B52446">
        <w:rPr>
          <w:rFonts w:ascii="Times New Roman" w:hAnsi="Times New Roman" w:cs="Times New Roman"/>
          <w:sz w:val="24"/>
          <w:szCs w:val="24"/>
          <w:lang w:val="en-US"/>
        </w:rPr>
        <w:t xml:space="preserve">There were only a handful of attempts of “taking” – i.e. forced confiscation without compensation –, a procedure analogue </w:t>
      </w:r>
      <w:r w:rsidRPr="00B52446">
        <w:rPr>
          <w:rFonts w:ascii="Times New Roman" w:hAnsi="Times New Roman" w:cs="Times New Roman"/>
          <w:sz w:val="24"/>
          <w:szCs w:val="24"/>
          <w:lang w:val="en-US"/>
        </w:rPr>
        <w:lastRenderedPageBreak/>
        <w:t>with the Russian “corporate raiding” phenomenon</w:t>
      </w:r>
      <w:r w:rsidRPr="00B52446">
        <w:rPr>
          <w:rStyle w:val="FootnoteReference"/>
          <w:rFonts w:ascii="Times New Roman" w:hAnsi="Times New Roman" w:cs="Times New Roman"/>
          <w:sz w:val="24"/>
          <w:szCs w:val="24"/>
          <w:lang w:val="en-US"/>
        </w:rPr>
        <w:footnoteReference w:id="16"/>
      </w:r>
      <w:r w:rsidRPr="00B52446">
        <w:rPr>
          <w:rFonts w:ascii="Times New Roman" w:hAnsi="Times New Roman" w:cs="Times New Roman"/>
          <w:sz w:val="24"/>
          <w:szCs w:val="24"/>
          <w:lang w:val="en-US"/>
        </w:rPr>
        <w:t xml:space="preserve">.   But even in these cases, after the initial fierce verbal threats, the government finally chose a soft form.  </w:t>
      </w:r>
    </w:p>
    <w:p w:rsidR="006145DE" w:rsidRDefault="00B52446" w:rsidP="00D619E0">
      <w:pPr>
        <w:spacing w:line="360" w:lineRule="auto"/>
        <w:jc w:val="both"/>
        <w:rPr>
          <w:rFonts w:ascii="Times New Roman" w:hAnsi="Times New Roman" w:cs="Times New Roman"/>
          <w:sz w:val="24"/>
          <w:szCs w:val="24"/>
          <w:lang w:val="en-US"/>
        </w:rPr>
      </w:pPr>
      <w:r w:rsidRPr="00365E09">
        <w:rPr>
          <w:rFonts w:ascii="Times New Roman" w:hAnsi="Times New Roman" w:cs="Times New Roman"/>
          <w:sz w:val="24"/>
          <w:szCs w:val="24"/>
          <w:lang w:val="en-US"/>
        </w:rPr>
        <w:t xml:space="preserve">Moreover, the most valuable </w:t>
      </w:r>
      <w:r w:rsidR="00D619E0" w:rsidRPr="00365E09">
        <w:rPr>
          <w:rFonts w:ascii="Times New Roman" w:hAnsi="Times New Roman" w:cs="Times New Roman"/>
          <w:sz w:val="24"/>
          <w:szCs w:val="24"/>
          <w:lang w:val="en-US"/>
        </w:rPr>
        <w:t xml:space="preserve">transactions has turned out to be </w:t>
      </w:r>
      <w:r w:rsidR="00D619E0" w:rsidRPr="00365E09">
        <w:rPr>
          <w:rFonts w:ascii="Times New Roman" w:hAnsi="Times New Roman" w:cs="Times New Roman"/>
          <w:b/>
          <w:sz w:val="24"/>
          <w:szCs w:val="24"/>
          <w:lang w:val="en-US"/>
        </w:rPr>
        <w:t>sweetheart deals</w:t>
      </w:r>
      <w:r w:rsidR="00D619E0" w:rsidRPr="00365E09">
        <w:rPr>
          <w:rFonts w:ascii="Times New Roman" w:hAnsi="Times New Roman" w:cs="Times New Roman"/>
          <w:sz w:val="24"/>
          <w:szCs w:val="24"/>
          <w:lang w:val="en-US"/>
        </w:rPr>
        <w:t xml:space="preserve"> – i.e. unbelievably favorable contractual arrangement for </w:t>
      </w:r>
      <w:r w:rsidRPr="00365E09">
        <w:rPr>
          <w:rFonts w:ascii="Times New Roman" w:hAnsi="Times New Roman" w:cs="Times New Roman"/>
          <w:sz w:val="24"/>
          <w:szCs w:val="24"/>
          <w:lang w:val="en-US"/>
        </w:rPr>
        <w:t xml:space="preserve">the </w:t>
      </w:r>
      <w:r w:rsidR="00D619E0" w:rsidRPr="00365E09">
        <w:rPr>
          <w:rFonts w:ascii="Times New Roman" w:hAnsi="Times New Roman" w:cs="Times New Roman"/>
          <w:sz w:val="24"/>
          <w:szCs w:val="24"/>
          <w:lang w:val="en-US"/>
        </w:rPr>
        <w:t>foreign sellers.  The buying prices in the four most notable cases, the purchase of 1/5</w:t>
      </w:r>
      <w:r w:rsidR="00D619E0" w:rsidRPr="00365E09">
        <w:rPr>
          <w:rFonts w:ascii="Times New Roman" w:hAnsi="Times New Roman" w:cs="Times New Roman"/>
          <w:sz w:val="24"/>
          <w:szCs w:val="24"/>
          <w:vertAlign w:val="superscript"/>
          <w:lang w:val="en-US"/>
        </w:rPr>
        <w:t>th</w:t>
      </w:r>
      <w:r w:rsidR="00D619E0" w:rsidRPr="00365E09">
        <w:rPr>
          <w:rFonts w:ascii="Times New Roman" w:hAnsi="Times New Roman" w:cs="Times New Roman"/>
          <w:sz w:val="24"/>
          <w:szCs w:val="24"/>
          <w:lang w:val="en-US"/>
        </w:rPr>
        <w:t xml:space="preserve"> of MOL shares from Surgutneftegaz</w:t>
      </w:r>
      <w:r w:rsidR="006C3A84">
        <w:rPr>
          <w:rFonts w:ascii="Times New Roman" w:hAnsi="Times New Roman" w:cs="Times New Roman"/>
          <w:sz w:val="24"/>
          <w:szCs w:val="24"/>
          <w:lang w:val="en-US"/>
        </w:rPr>
        <w:t>, a Russian company</w:t>
      </w:r>
      <w:r w:rsidR="00D619E0" w:rsidRPr="00365E09">
        <w:rPr>
          <w:rFonts w:ascii="Times New Roman" w:hAnsi="Times New Roman" w:cs="Times New Roman"/>
          <w:sz w:val="24"/>
          <w:szCs w:val="24"/>
          <w:lang w:val="en-US"/>
        </w:rPr>
        <w:t xml:space="preserve"> closely linked to President Putin, the 100% re-purchase of the </w:t>
      </w:r>
      <w:r w:rsidR="00F03707">
        <w:rPr>
          <w:rFonts w:ascii="Times New Roman" w:hAnsi="Times New Roman" w:cs="Times New Roman"/>
          <w:sz w:val="24"/>
          <w:szCs w:val="24"/>
          <w:lang w:val="en-US"/>
        </w:rPr>
        <w:t xml:space="preserve">natural </w:t>
      </w:r>
      <w:r w:rsidR="00D619E0" w:rsidRPr="00365E09">
        <w:rPr>
          <w:rFonts w:ascii="Times New Roman" w:hAnsi="Times New Roman" w:cs="Times New Roman"/>
          <w:sz w:val="24"/>
          <w:szCs w:val="24"/>
          <w:lang w:val="en-US"/>
        </w:rPr>
        <w:t>gas</w:t>
      </w:r>
      <w:r w:rsidR="00F03707">
        <w:rPr>
          <w:rFonts w:ascii="Times New Roman" w:hAnsi="Times New Roman" w:cs="Times New Roman"/>
          <w:sz w:val="24"/>
          <w:szCs w:val="24"/>
          <w:lang w:val="en-US"/>
        </w:rPr>
        <w:t xml:space="preserve"> wholesale business from </w:t>
      </w:r>
      <w:r w:rsidR="00D619E0" w:rsidRPr="00365E09">
        <w:rPr>
          <w:rFonts w:ascii="Times New Roman" w:hAnsi="Times New Roman" w:cs="Times New Roman"/>
          <w:sz w:val="24"/>
          <w:szCs w:val="24"/>
          <w:lang w:val="en-US"/>
        </w:rPr>
        <w:t>E.ON</w:t>
      </w:r>
      <w:r w:rsidRPr="00365E09">
        <w:rPr>
          <w:rFonts w:ascii="Times New Roman" w:hAnsi="Times New Roman" w:cs="Times New Roman"/>
          <w:sz w:val="24"/>
          <w:szCs w:val="24"/>
          <w:lang w:val="en-US"/>
        </w:rPr>
        <w:t xml:space="preserve"> </w:t>
      </w:r>
      <w:r w:rsidR="00F03707">
        <w:rPr>
          <w:rFonts w:ascii="Times New Roman" w:hAnsi="Times New Roman" w:cs="Times New Roman"/>
          <w:sz w:val="24"/>
          <w:szCs w:val="24"/>
          <w:lang w:val="en-US"/>
        </w:rPr>
        <w:t>Hungary</w:t>
      </w:r>
      <w:r w:rsidR="00D619E0" w:rsidRPr="00365E09">
        <w:rPr>
          <w:rFonts w:ascii="Times New Roman" w:hAnsi="Times New Roman" w:cs="Times New Roman"/>
          <w:sz w:val="24"/>
          <w:szCs w:val="24"/>
          <w:lang w:val="en-US"/>
        </w:rPr>
        <w:t>, the acquisition of Budapest Bank and the Hungarian Foreign Trade bank previously owned by General Electric and the German Bayerische Landesbank, respectivel</w:t>
      </w:r>
      <w:r w:rsidRPr="00365E09">
        <w:rPr>
          <w:rFonts w:ascii="Times New Roman" w:hAnsi="Times New Roman" w:cs="Times New Roman"/>
          <w:sz w:val="24"/>
          <w:szCs w:val="24"/>
          <w:lang w:val="en-US"/>
        </w:rPr>
        <w:t>y</w:t>
      </w:r>
      <w:r w:rsidR="00D619E0" w:rsidRPr="00365E09">
        <w:rPr>
          <w:rFonts w:ascii="Times New Roman" w:hAnsi="Times New Roman" w:cs="Times New Roman"/>
          <w:sz w:val="24"/>
          <w:szCs w:val="24"/>
          <w:lang w:val="en-US"/>
        </w:rPr>
        <w:t xml:space="preserve">, were all two-three times higher than the intrinsic market value of these firms.   </w:t>
      </w:r>
    </w:p>
    <w:p w:rsidR="00D619E0" w:rsidRPr="00365E09" w:rsidRDefault="00D619E0" w:rsidP="00D619E0">
      <w:pPr>
        <w:spacing w:line="360" w:lineRule="auto"/>
        <w:jc w:val="both"/>
        <w:rPr>
          <w:rFonts w:ascii="Times New Roman" w:hAnsi="Times New Roman" w:cs="Times New Roman"/>
          <w:sz w:val="24"/>
          <w:szCs w:val="24"/>
          <w:lang w:val="en-US"/>
        </w:rPr>
      </w:pPr>
      <w:r w:rsidRPr="00365E09">
        <w:rPr>
          <w:rFonts w:ascii="Times New Roman" w:hAnsi="Times New Roman" w:cs="Times New Roman"/>
          <w:sz w:val="24"/>
          <w:szCs w:val="24"/>
          <w:lang w:val="en-US"/>
        </w:rPr>
        <w:t xml:space="preserve">How can we explain this?  Our answer is that through such deals </w:t>
      </w:r>
      <w:r w:rsidR="00B52446" w:rsidRPr="00365E09">
        <w:rPr>
          <w:rFonts w:ascii="Times New Roman" w:hAnsi="Times New Roman" w:cs="Times New Roman"/>
          <w:sz w:val="24"/>
          <w:szCs w:val="24"/>
          <w:lang w:val="en-US"/>
        </w:rPr>
        <w:t xml:space="preserve">Prime Minister </w:t>
      </w:r>
      <w:r w:rsidRPr="00365E09">
        <w:rPr>
          <w:rFonts w:ascii="Times New Roman" w:hAnsi="Times New Roman" w:cs="Times New Roman"/>
          <w:sz w:val="24"/>
          <w:szCs w:val="24"/>
          <w:lang w:val="en-US"/>
        </w:rPr>
        <w:t xml:space="preserve">Orbán wanted to buy for himself good marks in Paris, Moscow, Berlin and Washington at the cost of the Hungarian taxpayers.  In other, less important cases, the beneficiaries of such sweetheart deals were the Hungarian political friends and supporters of the Fidesz regime.   </w:t>
      </w:r>
      <w:r w:rsidR="006C3A84">
        <w:rPr>
          <w:rFonts w:ascii="Times New Roman" w:hAnsi="Times New Roman" w:cs="Times New Roman"/>
          <w:sz w:val="24"/>
          <w:szCs w:val="24"/>
          <w:lang w:val="en-US"/>
        </w:rPr>
        <w:t>In one case, an ailing manufacturing company (Rába) was saved by the government share-purchase transaction, which helped the Hungarian majority owner to keep the value of his own share package.  In other cases, the state privatization company and/or the National Bank bough</w:t>
      </w:r>
      <w:r w:rsidR="00F03707">
        <w:rPr>
          <w:rFonts w:ascii="Times New Roman" w:hAnsi="Times New Roman" w:cs="Times New Roman"/>
          <w:sz w:val="24"/>
          <w:szCs w:val="24"/>
          <w:lang w:val="en-US"/>
        </w:rPr>
        <w:t>t</w:t>
      </w:r>
      <w:r w:rsidR="006C3A84">
        <w:rPr>
          <w:rFonts w:ascii="Times New Roman" w:hAnsi="Times New Roman" w:cs="Times New Roman"/>
          <w:sz w:val="24"/>
          <w:szCs w:val="24"/>
          <w:lang w:val="en-US"/>
        </w:rPr>
        <w:t xml:space="preserve"> very expensive real estates, helping the political friends of Fidesz to get rid of their ill-fated development </w:t>
      </w:r>
      <w:r w:rsidR="00F03707">
        <w:rPr>
          <w:rFonts w:ascii="Times New Roman" w:hAnsi="Times New Roman" w:cs="Times New Roman"/>
          <w:sz w:val="24"/>
          <w:szCs w:val="24"/>
          <w:lang w:val="en-US"/>
        </w:rPr>
        <w:t xml:space="preserve">projects </w:t>
      </w:r>
      <w:r w:rsidR="006C3A84">
        <w:rPr>
          <w:rFonts w:ascii="Times New Roman" w:hAnsi="Times New Roman" w:cs="Times New Roman"/>
          <w:sz w:val="24"/>
          <w:szCs w:val="24"/>
          <w:lang w:val="en-US"/>
        </w:rPr>
        <w:t xml:space="preserve">initiated many years earlier under totally different market conditions.  </w:t>
      </w:r>
    </w:p>
    <w:p w:rsidR="00BF4B53" w:rsidRDefault="00D619E0" w:rsidP="00D619E0">
      <w:pPr>
        <w:spacing w:line="360" w:lineRule="auto"/>
        <w:jc w:val="both"/>
        <w:rPr>
          <w:rFonts w:ascii="Times New Roman" w:hAnsi="Times New Roman" w:cs="Times New Roman"/>
          <w:sz w:val="24"/>
          <w:szCs w:val="24"/>
          <w:lang w:val="en-US"/>
        </w:rPr>
      </w:pPr>
      <w:r w:rsidRPr="00365E09">
        <w:rPr>
          <w:rFonts w:ascii="Times New Roman" w:hAnsi="Times New Roman" w:cs="Times New Roman"/>
          <w:sz w:val="24"/>
          <w:szCs w:val="24"/>
          <w:lang w:val="en-US"/>
        </w:rPr>
        <w:t xml:space="preserve">The data so far suggest that this policy of sweetheart deals was successful.  The inflow of capital from the outside world didn’t stop, as many had feared at the beginning.  In fact, Hungary improved its relative position among the leading reformist countries in terms of </w:t>
      </w:r>
      <w:r w:rsidR="00365E09">
        <w:rPr>
          <w:rFonts w:ascii="Times New Roman" w:hAnsi="Times New Roman" w:cs="Times New Roman"/>
          <w:sz w:val="24"/>
          <w:szCs w:val="24"/>
          <w:lang w:val="en-US"/>
        </w:rPr>
        <w:t xml:space="preserve">cumulated </w:t>
      </w:r>
      <w:r w:rsidRPr="00365E09">
        <w:rPr>
          <w:rFonts w:ascii="Times New Roman" w:hAnsi="Times New Roman" w:cs="Times New Roman"/>
          <w:sz w:val="24"/>
          <w:szCs w:val="24"/>
          <w:lang w:val="en-US"/>
        </w:rPr>
        <w:t>FDI/head – at least until 2014.</w:t>
      </w:r>
      <w:r w:rsidRPr="00365E09">
        <w:rPr>
          <w:rStyle w:val="FootnoteReference"/>
          <w:rFonts w:ascii="Times New Roman" w:hAnsi="Times New Roman" w:cs="Times New Roman"/>
          <w:sz w:val="24"/>
          <w:szCs w:val="24"/>
          <w:lang w:val="en-US"/>
        </w:rPr>
        <w:footnoteReference w:id="17"/>
      </w:r>
      <w:r w:rsidRPr="00365E09">
        <w:rPr>
          <w:rFonts w:ascii="Times New Roman" w:hAnsi="Times New Roman" w:cs="Times New Roman"/>
          <w:sz w:val="24"/>
          <w:szCs w:val="24"/>
          <w:lang w:val="en-US"/>
        </w:rPr>
        <w:t xml:space="preserve">   The same can be said about the outward movement of capital</w:t>
      </w:r>
      <w:r w:rsidR="006C3A84">
        <w:rPr>
          <w:rFonts w:ascii="Times New Roman" w:hAnsi="Times New Roman" w:cs="Times New Roman"/>
          <w:sz w:val="24"/>
          <w:szCs w:val="24"/>
          <w:lang w:val="en-US"/>
        </w:rPr>
        <w:t xml:space="preserve"> which continued to rise as well</w:t>
      </w:r>
      <w:r w:rsidRPr="00365E09">
        <w:rPr>
          <w:rFonts w:ascii="Times New Roman" w:hAnsi="Times New Roman" w:cs="Times New Roman"/>
          <w:sz w:val="24"/>
          <w:szCs w:val="24"/>
          <w:lang w:val="en-US"/>
        </w:rPr>
        <w:t xml:space="preserve"> (Table </w:t>
      </w:r>
      <w:r w:rsidR="00365E09">
        <w:rPr>
          <w:rFonts w:ascii="Times New Roman" w:hAnsi="Times New Roman" w:cs="Times New Roman"/>
          <w:sz w:val="24"/>
          <w:szCs w:val="24"/>
          <w:lang w:val="en-US"/>
        </w:rPr>
        <w:t>4)</w:t>
      </w:r>
      <w:r w:rsidRPr="00365E09">
        <w:rPr>
          <w:rFonts w:ascii="Times New Roman" w:hAnsi="Times New Roman" w:cs="Times New Roman"/>
          <w:sz w:val="24"/>
          <w:szCs w:val="24"/>
          <w:lang w:val="en-US"/>
        </w:rPr>
        <w:t>.</w:t>
      </w:r>
    </w:p>
    <w:p w:rsidR="00BF4B53" w:rsidRDefault="00BF4B5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619E0" w:rsidRPr="00365E09" w:rsidRDefault="00D619E0" w:rsidP="00D619E0">
      <w:pPr>
        <w:jc w:val="both"/>
        <w:rPr>
          <w:rFonts w:ascii="Times New Roman" w:hAnsi="Times New Roman" w:cs="Times New Roman"/>
          <w:smallCaps/>
          <w:sz w:val="24"/>
          <w:szCs w:val="24"/>
          <w:lang w:val="en-US"/>
        </w:rPr>
      </w:pPr>
      <w:r w:rsidRPr="00265113">
        <w:rPr>
          <w:rFonts w:ascii="Times New Roman" w:hAnsi="Times New Roman" w:cs="Times New Roman"/>
          <w:b/>
          <w:smallCaps/>
          <w:sz w:val="24"/>
          <w:szCs w:val="24"/>
          <w:lang w:val="en-US"/>
        </w:rPr>
        <w:lastRenderedPageBreak/>
        <w:t xml:space="preserve">Table </w:t>
      </w:r>
      <w:r w:rsidR="00365E09" w:rsidRPr="00265113">
        <w:rPr>
          <w:rFonts w:ascii="Times New Roman" w:hAnsi="Times New Roman" w:cs="Times New Roman"/>
          <w:b/>
          <w:smallCaps/>
          <w:sz w:val="24"/>
          <w:szCs w:val="24"/>
          <w:lang w:val="en-US"/>
        </w:rPr>
        <w:t>4</w:t>
      </w:r>
      <w:r w:rsidRPr="00365E09">
        <w:rPr>
          <w:rFonts w:ascii="Times New Roman" w:hAnsi="Times New Roman" w:cs="Times New Roman"/>
          <w:smallCaps/>
          <w:sz w:val="24"/>
          <w:szCs w:val="24"/>
          <w:lang w:val="en-US"/>
        </w:rPr>
        <w:t xml:space="preserve">: Ranking of the leading post-communist states in foreign direct investments, 2007 and 2014 </w:t>
      </w:r>
    </w:p>
    <w:p w:rsidR="00D619E0" w:rsidRPr="00365E09" w:rsidRDefault="00D619E0" w:rsidP="00D619E0">
      <w:pPr>
        <w:spacing w:line="360" w:lineRule="auto"/>
        <w:jc w:val="right"/>
        <w:rPr>
          <w:rFonts w:ascii="Times New Roman" w:hAnsi="Times New Roman" w:cs="Times New Roman"/>
          <w:sz w:val="24"/>
          <w:szCs w:val="24"/>
          <w:lang w:val="en-US"/>
        </w:rPr>
      </w:pPr>
      <w:r w:rsidRPr="00365E09">
        <w:rPr>
          <w:rFonts w:ascii="Times New Roman" w:hAnsi="Times New Roman" w:cs="Times New Roman"/>
          <w:sz w:val="24"/>
          <w:szCs w:val="24"/>
          <w:lang w:val="en-US"/>
        </w:rPr>
        <w:t>Euro/head</w:t>
      </w:r>
    </w:p>
    <w:p w:rsidR="00D619E0" w:rsidRPr="00365E09" w:rsidRDefault="00D619E0" w:rsidP="00D619E0">
      <w:pPr>
        <w:spacing w:line="360" w:lineRule="auto"/>
        <w:jc w:val="both"/>
        <w:rPr>
          <w:rFonts w:ascii="Times New Roman" w:hAnsi="Times New Roman" w:cs="Times New Roman"/>
          <w:sz w:val="24"/>
          <w:szCs w:val="24"/>
          <w:lang w:val="en-US"/>
        </w:rPr>
      </w:pPr>
      <w:r w:rsidRPr="00365E09">
        <w:rPr>
          <w:rFonts w:ascii="Times New Roman" w:hAnsi="Times New Roman" w:cs="Times New Roman"/>
          <w:noProof/>
          <w:sz w:val="24"/>
          <w:szCs w:val="24"/>
          <w:lang w:val="en-US"/>
        </w:rPr>
        <w:drawing>
          <wp:inline distT="0" distB="0" distL="0" distR="0">
            <wp:extent cx="5759450" cy="1001058"/>
            <wp:effectExtent l="0" t="0" r="0" b="889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1001058"/>
                    </a:xfrm>
                    <a:prstGeom prst="rect">
                      <a:avLst/>
                    </a:prstGeom>
                    <a:noFill/>
                    <a:ln>
                      <a:noFill/>
                    </a:ln>
                  </pic:spPr>
                </pic:pic>
              </a:graphicData>
            </a:graphic>
          </wp:inline>
        </w:drawing>
      </w:r>
    </w:p>
    <w:p w:rsidR="00D619E0" w:rsidRPr="00365E09" w:rsidRDefault="00D619E0" w:rsidP="00D619E0">
      <w:pPr>
        <w:jc w:val="both"/>
        <w:rPr>
          <w:rFonts w:ascii="Times New Roman" w:hAnsi="Times New Roman" w:cs="Times New Roman"/>
          <w:sz w:val="20"/>
          <w:szCs w:val="20"/>
          <w:lang w:val="en-US"/>
        </w:rPr>
      </w:pPr>
      <w:r w:rsidRPr="00365E09">
        <w:rPr>
          <w:rFonts w:ascii="Times New Roman" w:hAnsi="Times New Roman" w:cs="Times New Roman"/>
          <w:b/>
          <w:sz w:val="20"/>
          <w:szCs w:val="20"/>
          <w:lang w:val="en-US"/>
        </w:rPr>
        <w:t>Notes</w:t>
      </w:r>
      <w:r w:rsidRPr="00365E09">
        <w:rPr>
          <w:rFonts w:ascii="Times New Roman" w:hAnsi="Times New Roman" w:cs="Times New Roman"/>
          <w:sz w:val="20"/>
          <w:szCs w:val="20"/>
          <w:lang w:val="en-US"/>
        </w:rPr>
        <w:t>: Equity + reinvestment of earnings + debt instruments from 1992. Excluding special purpose entities (SPE).</w:t>
      </w:r>
    </w:p>
    <w:p w:rsidR="00D619E0" w:rsidRPr="00365E09" w:rsidRDefault="00D619E0" w:rsidP="00D619E0">
      <w:pPr>
        <w:spacing w:line="360" w:lineRule="auto"/>
        <w:jc w:val="both"/>
        <w:rPr>
          <w:rFonts w:ascii="Times New Roman" w:hAnsi="Times New Roman" w:cs="Times New Roman"/>
          <w:sz w:val="20"/>
          <w:szCs w:val="20"/>
        </w:rPr>
      </w:pPr>
      <w:r w:rsidRPr="00365E09">
        <w:rPr>
          <w:rFonts w:ascii="Times New Roman" w:hAnsi="Times New Roman" w:cs="Times New Roman"/>
          <w:b/>
          <w:sz w:val="20"/>
          <w:szCs w:val="20"/>
          <w:lang w:val="en-US"/>
        </w:rPr>
        <w:t>Source</w:t>
      </w:r>
      <w:r w:rsidRPr="00365E09">
        <w:rPr>
          <w:rFonts w:ascii="Times New Roman" w:hAnsi="Times New Roman" w:cs="Times New Roman"/>
          <w:sz w:val="20"/>
          <w:szCs w:val="20"/>
          <w:lang w:val="en-US"/>
        </w:rPr>
        <w:t xml:space="preserve">: WIIW FDI Database, </w:t>
      </w:r>
      <w:hyperlink r:id="rId17" w:history="1">
        <w:r w:rsidRPr="00365E09">
          <w:rPr>
            <w:rStyle w:val="Hyperlink"/>
            <w:rFonts w:ascii="Times New Roman" w:hAnsi="Times New Roman" w:cs="Times New Roman"/>
            <w:sz w:val="20"/>
            <w:szCs w:val="20"/>
            <w:lang w:val="en-US"/>
          </w:rPr>
          <w:t>http://wiiw.ac.at/fdi-database.html</w:t>
        </w:r>
      </w:hyperlink>
      <w:r w:rsidRPr="00365E09">
        <w:rPr>
          <w:rFonts w:ascii="Times New Roman" w:hAnsi="Times New Roman" w:cs="Times New Roman"/>
          <w:sz w:val="20"/>
          <w:szCs w:val="20"/>
          <w:lang w:val="en-US"/>
        </w:rPr>
        <w:t xml:space="preserve"> </w:t>
      </w:r>
    </w:p>
    <w:p w:rsidR="00BF4B53" w:rsidRDefault="00BF4B53" w:rsidP="006145DE">
      <w:pPr>
        <w:jc w:val="center"/>
        <w:rPr>
          <w:rFonts w:ascii="Times New Roman" w:hAnsi="Times New Roman" w:cs="Times New Roman"/>
          <w:sz w:val="24"/>
          <w:szCs w:val="24"/>
        </w:rPr>
      </w:pPr>
    </w:p>
    <w:p w:rsidR="00BF4B53" w:rsidRDefault="00BF4B53" w:rsidP="006145DE">
      <w:pPr>
        <w:jc w:val="center"/>
        <w:rPr>
          <w:rFonts w:ascii="Times New Roman" w:hAnsi="Times New Roman" w:cs="Times New Roman"/>
          <w:sz w:val="24"/>
          <w:szCs w:val="24"/>
        </w:rPr>
      </w:pPr>
    </w:p>
    <w:p w:rsidR="00365E09" w:rsidRDefault="006145DE" w:rsidP="006145DE">
      <w:pPr>
        <w:jc w:val="center"/>
        <w:rPr>
          <w:rFonts w:ascii="Times New Roman" w:hAnsi="Times New Roman" w:cs="Times New Roman"/>
          <w:sz w:val="24"/>
          <w:szCs w:val="24"/>
        </w:rPr>
      </w:pPr>
      <w:r>
        <w:rPr>
          <w:rFonts w:ascii="Times New Roman" w:hAnsi="Times New Roman" w:cs="Times New Roman"/>
          <w:sz w:val="24"/>
          <w:szCs w:val="24"/>
        </w:rPr>
        <w:t>I</w:t>
      </w:r>
      <w:r w:rsidR="00365E09">
        <w:rPr>
          <w:rFonts w:ascii="Times New Roman" w:hAnsi="Times New Roman" w:cs="Times New Roman"/>
          <w:sz w:val="24"/>
          <w:szCs w:val="24"/>
        </w:rPr>
        <w:t>II.</w:t>
      </w:r>
    </w:p>
    <w:p w:rsidR="00011525" w:rsidRDefault="00011525" w:rsidP="002D50CA">
      <w:pPr>
        <w:pStyle w:val="book"/>
        <w:spacing w:line="360" w:lineRule="auto"/>
        <w:ind w:firstLine="0"/>
        <w:rPr>
          <w:i/>
          <w:szCs w:val="24"/>
          <w:lang w:val="en-GB"/>
        </w:rPr>
      </w:pPr>
    </w:p>
    <w:p w:rsidR="00E52AE9" w:rsidRDefault="00F03707" w:rsidP="002D50CA">
      <w:pPr>
        <w:pStyle w:val="book"/>
        <w:spacing w:line="360" w:lineRule="auto"/>
        <w:ind w:firstLine="0"/>
        <w:rPr>
          <w:szCs w:val="24"/>
          <w:lang w:val="en-GB"/>
        </w:rPr>
      </w:pPr>
      <w:r w:rsidRPr="00F03707">
        <w:rPr>
          <w:i/>
          <w:szCs w:val="24"/>
          <w:lang w:val="en-GB"/>
        </w:rPr>
        <w:t>Centralization and the deliberate creation of monopolies</w:t>
      </w:r>
      <w:r>
        <w:rPr>
          <w:szCs w:val="24"/>
          <w:lang w:val="en-GB"/>
        </w:rPr>
        <w:t>.</w:t>
      </w:r>
      <w:r w:rsidR="00D97F82" w:rsidRPr="00D97F82">
        <w:rPr>
          <w:rStyle w:val="FootnoteReference"/>
          <w:szCs w:val="24"/>
          <w:lang w:val="en-US"/>
        </w:rPr>
        <w:t xml:space="preserve"> </w:t>
      </w:r>
      <w:r w:rsidR="00D97F82" w:rsidRPr="001B6ECB">
        <w:rPr>
          <w:rStyle w:val="FootnoteReference"/>
          <w:szCs w:val="24"/>
          <w:lang w:val="en-US"/>
        </w:rPr>
        <w:footnoteReference w:id="18"/>
      </w:r>
      <w:r w:rsidR="00D97F82">
        <w:rPr>
          <w:szCs w:val="24"/>
          <w:lang w:val="en-US"/>
        </w:rPr>
        <w:t xml:space="preserve"> </w:t>
      </w:r>
      <w:r>
        <w:rPr>
          <w:szCs w:val="24"/>
          <w:lang w:val="en-GB"/>
        </w:rPr>
        <w:t xml:space="preserve">  </w:t>
      </w:r>
      <w:r w:rsidR="0094737C">
        <w:rPr>
          <w:szCs w:val="24"/>
          <w:lang w:val="en-GB"/>
        </w:rPr>
        <w:t xml:space="preserve">In macroeconomic terms, the most significant </w:t>
      </w:r>
      <w:r w:rsidR="00E52AE9">
        <w:rPr>
          <w:szCs w:val="24"/>
          <w:lang w:val="en-GB"/>
        </w:rPr>
        <w:t xml:space="preserve">centralization move </w:t>
      </w:r>
      <w:r w:rsidR="0094737C">
        <w:rPr>
          <w:szCs w:val="24"/>
          <w:lang w:val="en-GB"/>
        </w:rPr>
        <w:t xml:space="preserve">was the </w:t>
      </w:r>
      <w:r w:rsidR="0094737C" w:rsidRPr="00E52AE9">
        <w:rPr>
          <w:b/>
          <w:szCs w:val="24"/>
          <w:lang w:val="en-GB"/>
        </w:rPr>
        <w:t>liquidation of the</w:t>
      </w:r>
      <w:r w:rsidR="0094737C">
        <w:rPr>
          <w:szCs w:val="24"/>
          <w:lang w:val="en-GB"/>
        </w:rPr>
        <w:t xml:space="preserve"> </w:t>
      </w:r>
      <w:r w:rsidR="0094737C" w:rsidRPr="00E52AE9">
        <w:rPr>
          <w:b/>
          <w:szCs w:val="24"/>
          <w:lang w:val="en-GB"/>
        </w:rPr>
        <w:t>2</w:t>
      </w:r>
      <w:r w:rsidR="0094737C" w:rsidRPr="00E52AE9">
        <w:rPr>
          <w:b/>
          <w:szCs w:val="24"/>
          <w:vertAlign w:val="superscript"/>
          <w:lang w:val="en-GB"/>
        </w:rPr>
        <w:t>nd</w:t>
      </w:r>
      <w:r w:rsidR="0094737C" w:rsidRPr="00E52AE9">
        <w:rPr>
          <w:b/>
          <w:szCs w:val="24"/>
          <w:lang w:val="en-GB"/>
        </w:rPr>
        <w:t xml:space="preserve"> </w:t>
      </w:r>
      <w:r w:rsidR="0094737C">
        <w:rPr>
          <w:szCs w:val="24"/>
          <w:lang w:val="en-GB"/>
        </w:rPr>
        <w:t>(private</w:t>
      </w:r>
      <w:r w:rsidR="0094737C" w:rsidRPr="00E52AE9">
        <w:rPr>
          <w:b/>
          <w:szCs w:val="24"/>
          <w:lang w:val="en-GB"/>
        </w:rPr>
        <w:t>) pillar of the pension system</w:t>
      </w:r>
      <w:r w:rsidR="0094737C">
        <w:rPr>
          <w:szCs w:val="24"/>
          <w:lang w:val="en-GB"/>
        </w:rPr>
        <w:t xml:space="preserve">.  This measure was announced as a total surprise in November 2010, weeks after the nationwide and local government elections.   As a consequence 2.8 million pension fund members were shifted back into the state system by default.  The government seized the assets of the private pension funds </w:t>
      </w:r>
      <w:r w:rsidR="00D97F82">
        <w:rPr>
          <w:szCs w:val="24"/>
          <w:lang w:val="en-GB"/>
        </w:rPr>
        <w:t xml:space="preserve">in order of 10% of GDP.  </w:t>
      </w:r>
      <w:r w:rsidR="00E52AE9">
        <w:rPr>
          <w:szCs w:val="24"/>
          <w:lang w:val="en-GB"/>
        </w:rPr>
        <w:t xml:space="preserve">This measure was officially justified by the claim that the pension funds were bad managers of their clients’ savings, </w:t>
      </w:r>
      <w:r w:rsidR="00CC1C0D">
        <w:rPr>
          <w:szCs w:val="24"/>
          <w:lang w:val="en-GB"/>
        </w:rPr>
        <w:t xml:space="preserve">“they lost the money on the stock exchange”, </w:t>
      </w:r>
      <w:r w:rsidR="00E52AE9">
        <w:rPr>
          <w:szCs w:val="24"/>
          <w:lang w:val="en-GB"/>
        </w:rPr>
        <w:t xml:space="preserve">some of them were </w:t>
      </w:r>
      <w:r w:rsidR="00CC1C0D">
        <w:rPr>
          <w:szCs w:val="24"/>
          <w:lang w:val="en-GB"/>
        </w:rPr>
        <w:t xml:space="preserve">also </w:t>
      </w:r>
      <w:r w:rsidR="00E52AE9">
        <w:rPr>
          <w:szCs w:val="24"/>
          <w:lang w:val="en-GB"/>
        </w:rPr>
        <w:t xml:space="preserve">accused of criminal negligence.  The fund members were told that they have the right to keep their membership status, but in this case the will not be entitled in the future to any state pension at all, even if they had accumulated such rights with 20 or 30 years of work prior to joining the private system.  At the end, this threat has never become a law, but it worked </w:t>
      </w:r>
      <w:r w:rsidR="00FE16E4">
        <w:rPr>
          <w:szCs w:val="24"/>
          <w:lang w:val="en-GB"/>
        </w:rPr>
        <w:t xml:space="preserve">nonetheless </w:t>
      </w:r>
      <w:r w:rsidR="00E52AE9">
        <w:rPr>
          <w:szCs w:val="24"/>
          <w:lang w:val="en-GB"/>
        </w:rPr>
        <w:t>as a blackmailing trick.  Sensible adults couldn’t believe that their government was simply bluffing.</w:t>
      </w:r>
      <w:r w:rsidR="00D97F82">
        <w:rPr>
          <w:szCs w:val="24"/>
          <w:lang w:val="en-GB"/>
        </w:rPr>
        <w:t xml:space="preserve">  </w:t>
      </w:r>
      <w:r w:rsidR="000347C9">
        <w:rPr>
          <w:szCs w:val="24"/>
          <w:lang w:val="en-GB"/>
        </w:rPr>
        <w:t xml:space="preserve">Out of 18 private pension funds 14 </w:t>
      </w:r>
      <w:r w:rsidR="00D97F82">
        <w:rPr>
          <w:szCs w:val="24"/>
          <w:lang w:val="en-GB"/>
        </w:rPr>
        <w:t xml:space="preserve">were forced to close its services through liquidation or merger with a bigger one.  </w:t>
      </w:r>
    </w:p>
    <w:p w:rsidR="0094737C" w:rsidRDefault="00E52AE9" w:rsidP="002D50CA">
      <w:pPr>
        <w:pStyle w:val="book"/>
        <w:spacing w:line="360" w:lineRule="auto"/>
        <w:ind w:firstLine="0"/>
        <w:rPr>
          <w:szCs w:val="24"/>
          <w:lang w:val="en-GB"/>
        </w:rPr>
      </w:pPr>
      <w:r>
        <w:rPr>
          <w:szCs w:val="24"/>
          <w:lang w:val="en-GB"/>
        </w:rPr>
        <w:t xml:space="preserve"> </w:t>
      </w:r>
    </w:p>
    <w:p w:rsidR="00D97F82" w:rsidRPr="00D97F82" w:rsidRDefault="00011525" w:rsidP="00D97F82">
      <w:pPr>
        <w:pStyle w:val="book"/>
        <w:spacing w:line="360" w:lineRule="auto"/>
        <w:ind w:firstLine="0"/>
        <w:rPr>
          <w:szCs w:val="24"/>
        </w:rPr>
      </w:pPr>
      <w:r>
        <w:rPr>
          <w:szCs w:val="24"/>
          <w:lang w:val="en-GB"/>
        </w:rPr>
        <w:lastRenderedPageBreak/>
        <w:t>In</w:t>
      </w:r>
      <w:r w:rsidR="00C46864">
        <w:rPr>
          <w:szCs w:val="24"/>
          <w:lang w:val="en-GB"/>
        </w:rPr>
        <w:t xml:space="preserve"> </w:t>
      </w:r>
      <w:r w:rsidR="00D97F82">
        <w:rPr>
          <w:szCs w:val="24"/>
          <w:lang w:val="en-GB"/>
        </w:rPr>
        <w:t xml:space="preserve">the field of public </w:t>
      </w:r>
      <w:r w:rsidR="00D97F82" w:rsidRPr="00C46864">
        <w:rPr>
          <w:b/>
          <w:szCs w:val="24"/>
          <w:lang w:val="en-GB"/>
        </w:rPr>
        <w:t>administration</w:t>
      </w:r>
      <w:r w:rsidR="00C46864">
        <w:rPr>
          <w:b/>
          <w:szCs w:val="24"/>
          <w:lang w:val="en-GB"/>
        </w:rPr>
        <w:t xml:space="preserve"> and publicly provided services</w:t>
      </w:r>
      <w:r w:rsidR="00D97F82">
        <w:rPr>
          <w:szCs w:val="24"/>
          <w:lang w:val="en-GB"/>
        </w:rPr>
        <w:t xml:space="preserve"> the 2. Orbán government’s first action was to reduce the number of ministries from 12 to 8.  The National Bank swallowed the Financial Supervisory Authority</w:t>
      </w:r>
      <w:r>
        <w:rPr>
          <w:szCs w:val="24"/>
          <w:lang w:val="en-GB"/>
        </w:rPr>
        <w:t xml:space="preserve">, </w:t>
      </w:r>
      <w:r w:rsidR="00D97F82">
        <w:rPr>
          <w:szCs w:val="24"/>
          <w:lang w:val="en-GB"/>
        </w:rPr>
        <w:t>t</w:t>
      </w:r>
      <w:r w:rsidR="00D97F82" w:rsidRPr="00D97F82">
        <w:rPr>
          <w:szCs w:val="24"/>
          <w:lang w:val="en-GB"/>
        </w:rPr>
        <w:t xml:space="preserve">he Customs and Finance Guard </w:t>
      </w:r>
      <w:r w:rsidR="00D97F82">
        <w:rPr>
          <w:szCs w:val="24"/>
          <w:lang w:val="en-GB"/>
        </w:rPr>
        <w:t xml:space="preserve">was </w:t>
      </w:r>
      <w:r w:rsidR="00D97F82" w:rsidRPr="00D97F82">
        <w:rPr>
          <w:szCs w:val="24"/>
          <w:lang w:val="en-GB"/>
        </w:rPr>
        <w:t>merged with the Taxation and Financial Control Office</w:t>
      </w:r>
      <w:r>
        <w:rPr>
          <w:szCs w:val="24"/>
          <w:lang w:val="en-GB"/>
        </w:rPr>
        <w:t xml:space="preserve">.  </w:t>
      </w:r>
      <w:r w:rsidR="00D97F82" w:rsidRPr="00D97F82">
        <w:rPr>
          <w:szCs w:val="24"/>
          <w:lang w:val="en-GB"/>
        </w:rPr>
        <w:t xml:space="preserve">Previously the state-owned, publicly financed radio and television channels operated separately, as did the state news agency. </w:t>
      </w:r>
      <w:r w:rsidR="00D97F82">
        <w:rPr>
          <w:szCs w:val="24"/>
          <w:lang w:val="en-GB"/>
        </w:rPr>
        <w:t xml:space="preserve"> </w:t>
      </w:r>
      <w:r w:rsidR="00D97F82" w:rsidRPr="00D97F82">
        <w:rPr>
          <w:szCs w:val="24"/>
          <w:lang w:val="en-GB"/>
        </w:rPr>
        <w:t xml:space="preserve">Now these have been merged into a giant centre called the Media Service Support and Asset Management Fund. </w:t>
      </w:r>
      <w:r w:rsidR="00D97F82">
        <w:rPr>
          <w:szCs w:val="24"/>
          <w:lang w:val="en-GB"/>
        </w:rPr>
        <w:t xml:space="preserve"> </w:t>
      </w:r>
      <w:r w:rsidR="00D97F82" w:rsidRPr="00D97F82">
        <w:rPr>
          <w:szCs w:val="24"/>
          <w:lang w:val="en-GB"/>
        </w:rPr>
        <w:t>This centralizes financing, and no less importantly, has the power to choose, hire and fire staff.</w:t>
      </w:r>
      <w:r w:rsidR="00C46864">
        <w:rPr>
          <w:szCs w:val="24"/>
          <w:lang w:val="en-GB"/>
        </w:rPr>
        <w:t xml:space="preserve">  </w:t>
      </w:r>
      <w:r w:rsidRPr="00D97F82">
        <w:rPr>
          <w:szCs w:val="24"/>
          <w:lang w:val="en-GB"/>
        </w:rPr>
        <w:t>Before the merger, the public radio and television departments could choose their own news sources. Now they are all obliged to use the material disgorged by the central news office.</w:t>
      </w:r>
      <w:r>
        <w:rPr>
          <w:szCs w:val="24"/>
          <w:lang w:val="en-GB"/>
        </w:rPr>
        <w:t xml:space="preserve"> </w:t>
      </w:r>
      <w:r w:rsidR="00C46864" w:rsidRPr="00C46864">
        <w:rPr>
          <w:szCs w:val="24"/>
          <w:lang w:val="en-GB"/>
        </w:rPr>
        <w:t xml:space="preserve">There </w:t>
      </w:r>
      <w:r w:rsidR="00C46864">
        <w:rPr>
          <w:szCs w:val="24"/>
          <w:lang w:val="en-GB"/>
        </w:rPr>
        <w:t xml:space="preserve">was </w:t>
      </w:r>
      <w:r w:rsidR="00C46864" w:rsidRPr="00C46864">
        <w:rPr>
          <w:szCs w:val="24"/>
          <w:lang w:val="en-GB"/>
        </w:rPr>
        <w:t xml:space="preserve">a wave of centralization engulfing the Hungarian Academy of Sciences network of research institutes. Various institutes of natural and social sciences with high reputations working separately and independently for several decades </w:t>
      </w:r>
      <w:r>
        <w:rPr>
          <w:szCs w:val="24"/>
          <w:lang w:val="en-GB"/>
        </w:rPr>
        <w:t xml:space="preserve">were </w:t>
      </w:r>
      <w:r w:rsidR="00C46864" w:rsidRPr="00C46864">
        <w:rPr>
          <w:szCs w:val="24"/>
          <w:lang w:val="en-GB"/>
        </w:rPr>
        <w:t>being herded into groups and subordinated to newly created centres.</w:t>
      </w:r>
      <w:r w:rsidR="00C46864">
        <w:rPr>
          <w:szCs w:val="24"/>
          <w:lang w:val="en-GB"/>
        </w:rPr>
        <w:t xml:space="preserve">  Even t</w:t>
      </w:r>
      <w:r w:rsidR="00C46864" w:rsidRPr="00C46864">
        <w:rPr>
          <w:szCs w:val="24"/>
          <w:lang w:val="en-GB"/>
        </w:rPr>
        <w:t xml:space="preserve">he Museum of Fine Arts and the Hungarian National Gallery </w:t>
      </w:r>
      <w:r w:rsidR="00C46864">
        <w:rPr>
          <w:szCs w:val="24"/>
          <w:lang w:val="en-GB"/>
        </w:rPr>
        <w:t xml:space="preserve">were </w:t>
      </w:r>
      <w:r w:rsidR="00C46864" w:rsidRPr="00C46864">
        <w:rPr>
          <w:szCs w:val="24"/>
          <w:lang w:val="en-GB"/>
        </w:rPr>
        <w:t>merged.</w:t>
      </w:r>
    </w:p>
    <w:p w:rsidR="00D97F82" w:rsidRDefault="00D97F82" w:rsidP="002D50CA">
      <w:pPr>
        <w:pStyle w:val="book"/>
        <w:spacing w:line="360" w:lineRule="auto"/>
        <w:ind w:firstLine="0"/>
        <w:rPr>
          <w:szCs w:val="24"/>
          <w:lang w:val="en-GB"/>
        </w:rPr>
      </w:pPr>
    </w:p>
    <w:p w:rsidR="00EC6649" w:rsidRDefault="00EC6649" w:rsidP="002D50CA">
      <w:pPr>
        <w:pStyle w:val="book"/>
        <w:spacing w:line="360" w:lineRule="auto"/>
        <w:ind w:firstLine="0"/>
        <w:rPr>
          <w:szCs w:val="24"/>
          <w:lang w:val="en-GB"/>
        </w:rPr>
      </w:pPr>
      <w:r>
        <w:rPr>
          <w:szCs w:val="24"/>
          <w:lang w:val="en-GB"/>
        </w:rPr>
        <w:t xml:space="preserve">The rules and regulations of the most important public services, such as primary and secondary education, the provision of healthcare, energy and water were all modified with the aim to reduce the </w:t>
      </w:r>
      <w:r w:rsidR="00D97F82">
        <w:rPr>
          <w:szCs w:val="24"/>
          <w:lang w:val="en-GB"/>
        </w:rPr>
        <w:t xml:space="preserve">power </w:t>
      </w:r>
      <w:r>
        <w:rPr>
          <w:szCs w:val="24"/>
          <w:lang w:val="en-GB"/>
        </w:rPr>
        <w:t xml:space="preserve">of </w:t>
      </w:r>
      <w:r w:rsidR="00D97F82">
        <w:rPr>
          <w:szCs w:val="24"/>
          <w:lang w:val="en-GB"/>
        </w:rPr>
        <w:t xml:space="preserve">the 3100 </w:t>
      </w:r>
      <w:r w:rsidRPr="00AD757A">
        <w:rPr>
          <w:b/>
          <w:szCs w:val="24"/>
          <w:lang w:val="en-GB"/>
        </w:rPr>
        <w:t>local governments</w:t>
      </w:r>
      <w:r>
        <w:rPr>
          <w:szCs w:val="24"/>
          <w:lang w:val="en-GB"/>
        </w:rPr>
        <w:t xml:space="preserve">.  In a few years, the combined value of expenditures financed from the local budgets fell from 13 per cent to 8 per cent of GDP.  </w:t>
      </w:r>
      <w:r w:rsidR="00011525">
        <w:rPr>
          <w:szCs w:val="24"/>
          <w:lang w:val="en-GB"/>
        </w:rPr>
        <w:t xml:space="preserve">As from 2017, </w:t>
      </w:r>
      <w:r w:rsidR="000347C9">
        <w:rPr>
          <w:szCs w:val="24"/>
          <w:lang w:val="en-GB"/>
        </w:rPr>
        <w:t xml:space="preserve">all </w:t>
      </w:r>
      <w:r w:rsidR="00011525">
        <w:rPr>
          <w:szCs w:val="24"/>
          <w:lang w:val="en-GB"/>
        </w:rPr>
        <w:t xml:space="preserve">local governments will be forced to close down their own bank accounts and use instead the financial networks of the State Treasury.  All these tasks and the corresponding </w:t>
      </w:r>
      <w:r w:rsidR="00011525" w:rsidRPr="00011525">
        <w:rPr>
          <w:i/>
          <w:szCs w:val="24"/>
          <w:lang w:val="en-GB"/>
        </w:rPr>
        <w:t>nomenklatura</w:t>
      </w:r>
      <w:r w:rsidR="00011525">
        <w:rPr>
          <w:szCs w:val="24"/>
          <w:lang w:val="en-GB"/>
        </w:rPr>
        <w:t xml:space="preserve"> rights fell in the hands of the government.  </w:t>
      </w:r>
      <w:r>
        <w:rPr>
          <w:szCs w:val="24"/>
          <w:lang w:val="en-GB"/>
        </w:rPr>
        <w:t xml:space="preserve">After </w:t>
      </w:r>
      <w:r w:rsidR="00011525">
        <w:rPr>
          <w:szCs w:val="24"/>
          <w:lang w:val="en-GB"/>
        </w:rPr>
        <w:t xml:space="preserve">all </w:t>
      </w:r>
      <w:r>
        <w:rPr>
          <w:szCs w:val="24"/>
          <w:lang w:val="en-GB"/>
        </w:rPr>
        <w:t>th</w:t>
      </w:r>
      <w:r w:rsidR="00011525">
        <w:rPr>
          <w:szCs w:val="24"/>
          <w:lang w:val="en-GB"/>
        </w:rPr>
        <w:t>ese</w:t>
      </w:r>
      <w:r>
        <w:rPr>
          <w:szCs w:val="24"/>
          <w:lang w:val="en-GB"/>
        </w:rPr>
        <w:t xml:space="preserve"> change</w:t>
      </w:r>
      <w:r w:rsidR="00011525">
        <w:rPr>
          <w:szCs w:val="24"/>
          <w:lang w:val="en-GB"/>
        </w:rPr>
        <w:t>s</w:t>
      </w:r>
      <w:r>
        <w:rPr>
          <w:szCs w:val="24"/>
          <w:lang w:val="en-GB"/>
        </w:rPr>
        <w:t xml:space="preserve">, Hungary has become one of the most centralized countries within the EU, similar to </w:t>
      </w:r>
      <w:r w:rsidR="00011525">
        <w:rPr>
          <w:szCs w:val="24"/>
          <w:lang w:val="en-GB"/>
        </w:rPr>
        <w:t xml:space="preserve">the territorial regimes of </w:t>
      </w:r>
      <w:r>
        <w:rPr>
          <w:szCs w:val="24"/>
          <w:lang w:val="en-GB"/>
        </w:rPr>
        <w:t xml:space="preserve">Bulgaria or Portugal. </w:t>
      </w:r>
      <w:r w:rsidR="00AD757A">
        <w:rPr>
          <w:szCs w:val="24"/>
          <w:lang w:val="en-GB"/>
        </w:rPr>
        <w:t xml:space="preserve"> </w:t>
      </w:r>
      <w:r>
        <w:rPr>
          <w:szCs w:val="24"/>
          <w:lang w:val="en-GB"/>
        </w:rPr>
        <w:t xml:space="preserve">The sudden weakening of financial power of local governments (and the city of Budapest in particular) </w:t>
      </w:r>
      <w:r w:rsidR="00AD757A">
        <w:rPr>
          <w:szCs w:val="24"/>
          <w:lang w:val="en-GB"/>
        </w:rPr>
        <w:t xml:space="preserve">meant that the most important counter-power of the government was removed from the country’s political life.   </w:t>
      </w:r>
      <w:r>
        <w:rPr>
          <w:szCs w:val="24"/>
          <w:lang w:val="en-GB"/>
        </w:rPr>
        <w:t xml:space="preserve"> </w:t>
      </w:r>
    </w:p>
    <w:p w:rsidR="00EC6649" w:rsidRDefault="00EC6649" w:rsidP="002D50CA">
      <w:pPr>
        <w:pStyle w:val="book"/>
        <w:spacing w:line="360" w:lineRule="auto"/>
        <w:ind w:firstLine="0"/>
        <w:rPr>
          <w:szCs w:val="24"/>
          <w:lang w:val="en-GB"/>
        </w:rPr>
      </w:pPr>
    </w:p>
    <w:p w:rsidR="00E9169D" w:rsidRDefault="00E9169D" w:rsidP="002D50CA">
      <w:pPr>
        <w:pStyle w:val="book"/>
        <w:spacing w:line="360" w:lineRule="auto"/>
        <w:ind w:firstLine="0"/>
        <w:rPr>
          <w:szCs w:val="24"/>
          <w:lang w:val="en-GB"/>
        </w:rPr>
      </w:pPr>
      <w:r>
        <w:rPr>
          <w:szCs w:val="24"/>
          <w:lang w:val="en-GB"/>
        </w:rPr>
        <w:t>As a corollary to the reduction of local governments’ power, the Parliament voted a seri</w:t>
      </w:r>
      <w:r w:rsidR="00C46864">
        <w:rPr>
          <w:szCs w:val="24"/>
          <w:lang w:val="en-GB"/>
        </w:rPr>
        <w:t>e</w:t>
      </w:r>
      <w:r>
        <w:rPr>
          <w:szCs w:val="24"/>
          <w:lang w:val="en-GB"/>
        </w:rPr>
        <w:t xml:space="preserve">s of new laws to </w:t>
      </w:r>
      <w:r w:rsidRPr="00523C96">
        <w:rPr>
          <w:b/>
          <w:szCs w:val="24"/>
          <w:lang w:val="en-GB"/>
        </w:rPr>
        <w:t>reduce the prices of utility services for households</w:t>
      </w:r>
      <w:r>
        <w:rPr>
          <w:szCs w:val="24"/>
          <w:lang w:val="en-GB"/>
        </w:rPr>
        <w:t xml:space="preserve">.  As it turned out, it was a very successful electoral trick to cut the prices of electricity, gas, distance heating, water, solid waste </w:t>
      </w:r>
      <w:r w:rsidR="00D97F82">
        <w:rPr>
          <w:szCs w:val="24"/>
          <w:lang w:val="en-GB"/>
        </w:rPr>
        <w:t xml:space="preserve">and sewage </w:t>
      </w:r>
      <w:r>
        <w:rPr>
          <w:szCs w:val="24"/>
          <w:lang w:val="en-GB"/>
        </w:rPr>
        <w:t xml:space="preserve">removal, obligatory chimney </w:t>
      </w:r>
      <w:r w:rsidR="00523C96">
        <w:rPr>
          <w:szCs w:val="24"/>
          <w:lang w:val="en-GB"/>
        </w:rPr>
        <w:t xml:space="preserve">and elevator testing by 20-30 per cent, or more.  There was even an attempt to cut the price of funeral services to zero </w:t>
      </w:r>
      <w:r w:rsidR="00C46864">
        <w:rPr>
          <w:szCs w:val="24"/>
          <w:lang w:val="en-GB"/>
        </w:rPr>
        <w:t>F</w:t>
      </w:r>
      <w:r w:rsidR="00523C96">
        <w:rPr>
          <w:szCs w:val="24"/>
          <w:lang w:val="en-GB"/>
        </w:rPr>
        <w:t xml:space="preserve">orint, if the relatives of the deceased were willing to dig the grave themselves.  (At the end this measure was not implemented, although the relevant law had been past, because the whole issue has </w:t>
      </w:r>
      <w:r w:rsidR="00523C96">
        <w:rPr>
          <w:szCs w:val="24"/>
          <w:lang w:val="en-GB"/>
        </w:rPr>
        <w:lastRenderedPageBreak/>
        <w:t xml:space="preserve">become a laughing stock.)   </w:t>
      </w:r>
      <w:r w:rsidR="005444BF">
        <w:rPr>
          <w:szCs w:val="24"/>
          <w:lang w:val="en-GB"/>
        </w:rPr>
        <w:t xml:space="preserve">As a popular move against the banks, the government made two monthly cash-withdrawals from ATM machines free of transaction charges, arguing that the people deserve this.  In a similar way, certain postal services became free of charge.  Since the Post is state-owned, the government didn’t need to discuss the matter with an opposing side. </w:t>
      </w:r>
      <w:r w:rsidR="00523C96">
        <w:rPr>
          <w:szCs w:val="24"/>
          <w:lang w:val="en-GB"/>
        </w:rPr>
        <w:t xml:space="preserve">As the government rightly assumed, these populistic measures helped the Fidesz party to win the 2014 elections (both the nationwide and the local ones).   The arbitrary price cuts, of course, hurt the companies concerned, but the tensions arising from this were left the local governments to solve.  In other cases, the incumbent firms went bankrupt and were offered to the government for renationalization (e.g. solid waste disposal).  A third group of firms which were always state-owned were bailed out by the central government with cash injections (e.g. regional water distribution companies).     </w:t>
      </w:r>
    </w:p>
    <w:p w:rsidR="00EC6649" w:rsidRDefault="00EC6649" w:rsidP="002D50CA">
      <w:pPr>
        <w:pStyle w:val="book"/>
        <w:spacing w:line="360" w:lineRule="auto"/>
        <w:ind w:firstLine="0"/>
        <w:rPr>
          <w:szCs w:val="24"/>
          <w:lang w:val="en-GB"/>
        </w:rPr>
      </w:pPr>
      <w:r>
        <w:rPr>
          <w:szCs w:val="24"/>
          <w:lang w:val="en-GB"/>
        </w:rPr>
        <w:t xml:space="preserve">  </w:t>
      </w:r>
    </w:p>
    <w:p w:rsidR="000D14C6" w:rsidRDefault="00D71D37" w:rsidP="002D50CA">
      <w:pPr>
        <w:pStyle w:val="book"/>
        <w:spacing w:line="360" w:lineRule="auto"/>
        <w:ind w:firstLine="0"/>
        <w:rPr>
          <w:szCs w:val="24"/>
          <w:lang w:val="en-GB"/>
        </w:rPr>
      </w:pPr>
      <w:r w:rsidRPr="002D50CA">
        <w:rPr>
          <w:szCs w:val="24"/>
          <w:lang w:val="en-GB"/>
        </w:rPr>
        <w:t xml:space="preserve">An important part of Orbán’s new policy was the rapid </w:t>
      </w:r>
      <w:r w:rsidRPr="000D14C6">
        <w:rPr>
          <w:b/>
          <w:szCs w:val="24"/>
          <w:lang w:val="en-GB"/>
        </w:rPr>
        <w:t>erosion of market</w:t>
      </w:r>
      <w:r w:rsidRPr="002D50CA">
        <w:rPr>
          <w:szCs w:val="24"/>
          <w:lang w:val="en-GB"/>
        </w:rPr>
        <w:t xml:space="preserve"> </w:t>
      </w:r>
      <w:r w:rsidRPr="00AD757A">
        <w:rPr>
          <w:b/>
          <w:szCs w:val="24"/>
          <w:lang w:val="en-GB"/>
        </w:rPr>
        <w:t>competition</w:t>
      </w:r>
      <w:r w:rsidRPr="002D50CA">
        <w:rPr>
          <w:szCs w:val="24"/>
          <w:lang w:val="en-GB"/>
        </w:rPr>
        <w:t>.  This meant in practice that the law or the authorities have granted monopoly rights to state companies, or to private companies owned by the trusted business friends of the Prime Minister.  In both cases, the competition on the given markets w</w:t>
      </w:r>
      <w:r w:rsidR="006E263A" w:rsidRPr="002D50CA">
        <w:rPr>
          <w:szCs w:val="24"/>
          <w:lang w:val="en-GB"/>
        </w:rPr>
        <w:t>as</w:t>
      </w:r>
      <w:r w:rsidRPr="002D50CA">
        <w:rPr>
          <w:szCs w:val="24"/>
          <w:lang w:val="en-GB"/>
        </w:rPr>
        <w:t xml:space="preserve"> seriously limited</w:t>
      </w:r>
      <w:r w:rsidR="000347C9">
        <w:rPr>
          <w:szCs w:val="24"/>
          <w:lang w:val="en-GB"/>
        </w:rPr>
        <w:t xml:space="preserve">, </w:t>
      </w:r>
      <w:r w:rsidRPr="002D50CA">
        <w:rPr>
          <w:szCs w:val="24"/>
          <w:lang w:val="en-GB"/>
        </w:rPr>
        <w:t xml:space="preserve">especially in those cases, where </w:t>
      </w:r>
      <w:r w:rsidR="002D50CA">
        <w:rPr>
          <w:szCs w:val="24"/>
          <w:lang w:val="en-GB"/>
        </w:rPr>
        <w:t xml:space="preserve">the aim was to get rid of </w:t>
      </w:r>
      <w:r w:rsidRPr="002D50CA">
        <w:rPr>
          <w:szCs w:val="24"/>
          <w:lang w:val="en-GB"/>
        </w:rPr>
        <w:t>large foreign-owned companies</w:t>
      </w:r>
      <w:r w:rsidR="002D50CA">
        <w:rPr>
          <w:szCs w:val="24"/>
          <w:lang w:val="en-GB"/>
        </w:rPr>
        <w:t xml:space="preserve"> (retail trade, banking, tobacco manufacturing, gambling).</w:t>
      </w:r>
      <w:r w:rsidRPr="002D50CA">
        <w:rPr>
          <w:szCs w:val="24"/>
          <w:lang w:val="en-GB"/>
        </w:rPr>
        <w:t xml:space="preserve">  </w:t>
      </w:r>
      <w:r w:rsidR="001214C4">
        <w:rPr>
          <w:szCs w:val="24"/>
          <w:lang w:val="en-GB"/>
        </w:rPr>
        <w:t xml:space="preserve"> In legal terms, there were four major ways used by the government: </w:t>
      </w:r>
    </w:p>
    <w:p w:rsidR="001214C4" w:rsidRDefault="001214C4" w:rsidP="001214C4">
      <w:pPr>
        <w:pStyle w:val="book"/>
        <w:numPr>
          <w:ilvl w:val="0"/>
          <w:numId w:val="3"/>
        </w:numPr>
        <w:spacing w:line="360" w:lineRule="auto"/>
        <w:rPr>
          <w:szCs w:val="24"/>
          <w:lang w:val="en-GB"/>
        </w:rPr>
      </w:pPr>
      <w:r>
        <w:rPr>
          <w:szCs w:val="24"/>
          <w:lang w:val="en-GB"/>
        </w:rPr>
        <w:t>The exclusion of foreign companies and/or private citizens from certain markets (e.g. the ownership of agricultural land, sewage and solid was removal, working as a public notary);</w:t>
      </w:r>
    </w:p>
    <w:p w:rsidR="001214C4" w:rsidRDefault="001214C4" w:rsidP="001214C4">
      <w:pPr>
        <w:pStyle w:val="book"/>
        <w:numPr>
          <w:ilvl w:val="0"/>
          <w:numId w:val="3"/>
        </w:numPr>
        <w:spacing w:line="360" w:lineRule="auto"/>
        <w:rPr>
          <w:szCs w:val="24"/>
          <w:lang w:val="en-GB"/>
        </w:rPr>
      </w:pPr>
      <w:r>
        <w:rPr>
          <w:szCs w:val="24"/>
          <w:lang w:val="en-GB"/>
        </w:rPr>
        <w:t>The activity can be carried out only on a non-profit bases, requiring the set up the firms in a special legal form</w:t>
      </w:r>
      <w:r w:rsidR="00B41848">
        <w:rPr>
          <w:szCs w:val="24"/>
          <w:lang w:val="en-GB"/>
        </w:rPr>
        <w:t xml:space="preserve"> (</w:t>
      </w:r>
      <w:r w:rsidR="000347C9">
        <w:rPr>
          <w:szCs w:val="24"/>
          <w:lang w:val="en-GB"/>
        </w:rPr>
        <w:t xml:space="preserve">e.g. </w:t>
      </w:r>
      <w:r w:rsidR="00B41848">
        <w:rPr>
          <w:szCs w:val="24"/>
          <w:lang w:val="en-GB"/>
        </w:rPr>
        <w:t>sewage and solid waste removal, company liquidation in case of firms of “strategic importance”)</w:t>
      </w:r>
      <w:r>
        <w:rPr>
          <w:szCs w:val="24"/>
          <w:lang w:val="en-GB"/>
        </w:rPr>
        <w:t>;</w:t>
      </w:r>
    </w:p>
    <w:p w:rsidR="001214C4" w:rsidRDefault="00B41848" w:rsidP="001214C4">
      <w:pPr>
        <w:pStyle w:val="book"/>
        <w:numPr>
          <w:ilvl w:val="0"/>
          <w:numId w:val="3"/>
        </w:numPr>
        <w:spacing w:line="360" w:lineRule="auto"/>
        <w:rPr>
          <w:szCs w:val="24"/>
          <w:lang w:val="en-GB"/>
        </w:rPr>
      </w:pPr>
      <w:r>
        <w:rPr>
          <w:szCs w:val="24"/>
          <w:lang w:val="en-GB"/>
        </w:rPr>
        <w:t>Expansion of the list of concessionary activities (e.g. retail and wholesale trade in tobacco, operating slot machines, operating tourist bus services in Budapest);</w:t>
      </w:r>
    </w:p>
    <w:p w:rsidR="00B41848" w:rsidRDefault="000347C9" w:rsidP="001214C4">
      <w:pPr>
        <w:pStyle w:val="book"/>
        <w:numPr>
          <w:ilvl w:val="0"/>
          <w:numId w:val="3"/>
        </w:numPr>
        <w:spacing w:line="360" w:lineRule="auto"/>
        <w:rPr>
          <w:szCs w:val="24"/>
          <w:lang w:val="en-GB"/>
        </w:rPr>
      </w:pPr>
      <w:r>
        <w:rPr>
          <w:szCs w:val="24"/>
          <w:lang w:val="en-GB"/>
        </w:rPr>
        <w:t>Modified c</w:t>
      </w:r>
      <w:r w:rsidR="00B41848">
        <w:rPr>
          <w:szCs w:val="24"/>
          <w:lang w:val="en-GB"/>
        </w:rPr>
        <w:t xml:space="preserve">oncessionary </w:t>
      </w:r>
      <w:r>
        <w:rPr>
          <w:szCs w:val="24"/>
          <w:lang w:val="en-GB"/>
        </w:rPr>
        <w:t xml:space="preserve">acts </w:t>
      </w:r>
      <w:r w:rsidR="00B41848">
        <w:rPr>
          <w:szCs w:val="24"/>
          <w:lang w:val="en-GB"/>
        </w:rPr>
        <w:t xml:space="preserve">limited </w:t>
      </w:r>
      <w:r>
        <w:rPr>
          <w:szCs w:val="24"/>
          <w:lang w:val="en-GB"/>
        </w:rPr>
        <w:t xml:space="preserve">certain activities </w:t>
      </w:r>
      <w:r w:rsidR="00B41848">
        <w:rPr>
          <w:szCs w:val="24"/>
          <w:lang w:val="en-GB"/>
        </w:rPr>
        <w:t>to state authorities or to state-owned companies (e.g. on-line payment services through mobile telephone, civil engineering services to EU-funded construction projects).</w:t>
      </w:r>
    </w:p>
    <w:p w:rsidR="000D14C6" w:rsidRDefault="000D14C6" w:rsidP="002D50CA">
      <w:pPr>
        <w:pStyle w:val="book"/>
        <w:spacing w:line="360" w:lineRule="auto"/>
        <w:ind w:firstLine="0"/>
        <w:rPr>
          <w:szCs w:val="24"/>
          <w:lang w:val="en-GB"/>
        </w:rPr>
      </w:pPr>
    </w:p>
    <w:p w:rsidR="002D50CA" w:rsidRDefault="006E263A" w:rsidP="002D50CA">
      <w:pPr>
        <w:pStyle w:val="book"/>
        <w:spacing w:line="360" w:lineRule="auto"/>
        <w:ind w:firstLine="0"/>
        <w:rPr>
          <w:szCs w:val="24"/>
          <w:lang w:val="en-GB"/>
        </w:rPr>
      </w:pPr>
      <w:r w:rsidRPr="002D50CA">
        <w:rPr>
          <w:szCs w:val="24"/>
          <w:lang w:val="en-GB"/>
        </w:rPr>
        <w:t xml:space="preserve">When the formerly independent Hungarian Competition Authority has tried to stop this, the relevant legislation was </w:t>
      </w:r>
      <w:r w:rsidR="002D50CA">
        <w:rPr>
          <w:szCs w:val="24"/>
          <w:lang w:val="en-GB"/>
        </w:rPr>
        <w:t xml:space="preserve">immediately </w:t>
      </w:r>
      <w:r w:rsidRPr="002D50CA">
        <w:rPr>
          <w:szCs w:val="24"/>
          <w:lang w:val="en-GB"/>
        </w:rPr>
        <w:t xml:space="preserve">changed and the top management of the authority was </w:t>
      </w:r>
      <w:r w:rsidRPr="002D50CA">
        <w:rPr>
          <w:szCs w:val="24"/>
          <w:lang w:val="en-GB"/>
        </w:rPr>
        <w:lastRenderedPageBreak/>
        <w:t xml:space="preserve">replaced.  A particularly amusing example was, when Parliament adopted a new law that specifically allowed to collusion of Hungarian water-melon producers and agree on price-fixing.  </w:t>
      </w:r>
      <w:r w:rsidR="002D50CA">
        <w:rPr>
          <w:szCs w:val="24"/>
          <w:lang w:val="en-GB"/>
        </w:rPr>
        <w:t xml:space="preserve">The immediate objective – highly mediatized by the government – was to squeeze out imported water melons from the hypermarkets. </w:t>
      </w:r>
      <w:r w:rsidR="00AD757A">
        <w:rPr>
          <w:szCs w:val="24"/>
          <w:lang w:val="en-GB"/>
        </w:rPr>
        <w:t xml:space="preserve"> In terms of money and political significance, a much more important decision was to </w:t>
      </w:r>
      <w:r w:rsidR="00E9169D">
        <w:rPr>
          <w:szCs w:val="24"/>
          <w:lang w:val="en-GB"/>
        </w:rPr>
        <w:t xml:space="preserve">assign the construction of two 1000 MW nuclear power blocks to a state-owned Russian company without any competition what so ever.  The Hungarian authorities didn’t consult Brussels on this matter, until all the agreements were signed with the Russian partners in 2015. At the time of writing the final assessment of the EU commission is still pending, whether this deal in its original form is compatible with the general EU norms.  Most likely it is not. </w:t>
      </w:r>
    </w:p>
    <w:p w:rsidR="002D50CA" w:rsidRDefault="002D50CA" w:rsidP="002D50CA">
      <w:pPr>
        <w:pStyle w:val="book"/>
        <w:spacing w:line="360" w:lineRule="auto"/>
        <w:ind w:firstLine="0"/>
        <w:rPr>
          <w:szCs w:val="24"/>
          <w:lang w:val="en-GB"/>
        </w:rPr>
      </w:pPr>
    </w:p>
    <w:p w:rsidR="002D50CA" w:rsidRDefault="006E263A" w:rsidP="002D50CA">
      <w:pPr>
        <w:pStyle w:val="book"/>
        <w:spacing w:line="360" w:lineRule="auto"/>
        <w:ind w:firstLine="0"/>
      </w:pPr>
      <w:r w:rsidRPr="002D50CA">
        <w:rPr>
          <w:szCs w:val="24"/>
          <w:lang w:val="en-GB"/>
        </w:rPr>
        <w:t xml:space="preserve">In order to strengthen the competitive position of the close business friends of Orbán, it has become a </w:t>
      </w:r>
      <w:r w:rsidR="00D71D37" w:rsidRPr="002D50CA">
        <w:rPr>
          <w:szCs w:val="24"/>
          <w:lang w:val="en-GB"/>
        </w:rPr>
        <w:t xml:space="preserve">widespread practice that </w:t>
      </w:r>
      <w:r w:rsidRPr="002D50CA">
        <w:rPr>
          <w:szCs w:val="24"/>
          <w:lang w:val="en-GB"/>
        </w:rPr>
        <w:t xml:space="preserve">in </w:t>
      </w:r>
      <w:r w:rsidRPr="00AD757A">
        <w:rPr>
          <w:b/>
          <w:szCs w:val="24"/>
          <w:lang w:val="en-GB"/>
        </w:rPr>
        <w:t>public procurement</w:t>
      </w:r>
      <w:r w:rsidRPr="002D50CA">
        <w:rPr>
          <w:szCs w:val="24"/>
          <w:lang w:val="en-GB"/>
        </w:rPr>
        <w:t xml:space="preserve"> tenders, the </w:t>
      </w:r>
      <w:r w:rsidR="00D71D37" w:rsidRPr="002D50CA">
        <w:rPr>
          <w:szCs w:val="24"/>
          <w:lang w:val="en-GB"/>
        </w:rPr>
        <w:t xml:space="preserve">evaluation </w:t>
      </w:r>
      <w:r w:rsidRPr="002D50CA">
        <w:rPr>
          <w:szCs w:val="24"/>
          <w:lang w:val="en-GB"/>
        </w:rPr>
        <w:t xml:space="preserve">was predominantly based on </w:t>
      </w:r>
      <w:r w:rsidR="00D71D37" w:rsidRPr="002D50CA">
        <w:rPr>
          <w:szCs w:val="24"/>
          <w:lang w:val="en-GB"/>
        </w:rPr>
        <w:t>necessarily subjective criteria (</w:t>
      </w:r>
      <w:r w:rsidR="002D50CA">
        <w:rPr>
          <w:szCs w:val="24"/>
          <w:lang w:val="en-GB"/>
        </w:rPr>
        <w:t xml:space="preserve">e.g. </w:t>
      </w:r>
      <w:r w:rsidR="00D71D37" w:rsidRPr="002D50CA">
        <w:rPr>
          <w:szCs w:val="24"/>
          <w:lang w:val="en-GB"/>
        </w:rPr>
        <w:t>quality of business plan, the applicant's reliability)</w:t>
      </w:r>
      <w:r w:rsidRPr="002D50CA">
        <w:rPr>
          <w:szCs w:val="24"/>
          <w:lang w:val="en-GB"/>
        </w:rPr>
        <w:t xml:space="preserve">. </w:t>
      </w:r>
      <w:r w:rsidR="002D50CA">
        <w:rPr>
          <w:szCs w:val="24"/>
          <w:lang w:val="en-GB"/>
        </w:rPr>
        <w:t xml:space="preserve"> </w:t>
      </w:r>
      <w:r w:rsidR="00D71D37" w:rsidRPr="002D50CA">
        <w:rPr>
          <w:szCs w:val="24"/>
          <w:lang w:val="en-GB"/>
        </w:rPr>
        <w:t>As a consequence of th</w:t>
      </w:r>
      <w:r w:rsidRPr="002D50CA">
        <w:rPr>
          <w:szCs w:val="24"/>
          <w:lang w:val="en-GB"/>
        </w:rPr>
        <w:t xml:space="preserve">is </w:t>
      </w:r>
      <w:r w:rsidR="00D71D37" w:rsidRPr="002D50CA">
        <w:rPr>
          <w:szCs w:val="24"/>
          <w:lang w:val="en-GB"/>
        </w:rPr>
        <w:t>practice</w:t>
      </w:r>
      <w:r w:rsidRPr="002D50CA">
        <w:rPr>
          <w:szCs w:val="24"/>
          <w:lang w:val="en-GB"/>
        </w:rPr>
        <w:t xml:space="preserve">, </w:t>
      </w:r>
      <w:r w:rsidR="002D50CA">
        <w:rPr>
          <w:szCs w:val="24"/>
          <w:lang w:val="en-GB"/>
        </w:rPr>
        <w:t xml:space="preserve">soon </w:t>
      </w:r>
      <w:r w:rsidRPr="002D50CA">
        <w:rPr>
          <w:szCs w:val="24"/>
          <w:lang w:val="en-GB"/>
        </w:rPr>
        <w:t>only the preferred firms applied</w:t>
      </w:r>
      <w:r w:rsidR="002D50CA" w:rsidRPr="002D50CA">
        <w:rPr>
          <w:szCs w:val="24"/>
          <w:lang w:val="en-GB"/>
        </w:rPr>
        <w:t xml:space="preserve">, because the </w:t>
      </w:r>
      <w:r w:rsidR="00D71D37" w:rsidRPr="002D50CA">
        <w:rPr>
          <w:szCs w:val="24"/>
          <w:lang w:val="en-GB"/>
        </w:rPr>
        <w:t xml:space="preserve">potential competitors </w:t>
      </w:r>
      <w:r w:rsidR="002D50CA">
        <w:rPr>
          <w:szCs w:val="24"/>
          <w:lang w:val="en-GB"/>
        </w:rPr>
        <w:t xml:space="preserve">didn’t want to waste their time and their resources in a rigged competition.  </w:t>
      </w:r>
      <w:r w:rsidR="00D71D37" w:rsidRPr="002D50CA">
        <w:rPr>
          <w:szCs w:val="24"/>
          <w:lang w:val="en-GB"/>
        </w:rPr>
        <w:t xml:space="preserve">Particularly widespread this practice has become </w:t>
      </w:r>
      <w:r w:rsidR="002D50CA" w:rsidRPr="002D50CA">
        <w:rPr>
          <w:szCs w:val="24"/>
          <w:lang w:val="en-GB"/>
        </w:rPr>
        <w:t xml:space="preserve">at </w:t>
      </w:r>
      <w:r w:rsidR="00D71D37" w:rsidRPr="002D50CA">
        <w:rPr>
          <w:szCs w:val="24"/>
          <w:lang w:val="en-GB"/>
        </w:rPr>
        <w:t>road construction</w:t>
      </w:r>
      <w:r w:rsidR="002D50CA" w:rsidRPr="002D50CA">
        <w:rPr>
          <w:szCs w:val="24"/>
          <w:lang w:val="en-GB"/>
        </w:rPr>
        <w:t xml:space="preserve"> and IT procurement tenders</w:t>
      </w:r>
      <w:r w:rsidR="002D50CA">
        <w:t>.</w:t>
      </w:r>
      <w:r w:rsidR="002D50CA">
        <w:rPr>
          <w:rStyle w:val="FootnoteReference"/>
        </w:rPr>
        <w:footnoteReference w:id="19"/>
      </w:r>
      <w:r w:rsidR="002D50CA">
        <w:t xml:space="preserve">  </w:t>
      </w:r>
    </w:p>
    <w:p w:rsidR="00D71D37" w:rsidRDefault="00D71D37" w:rsidP="00D619E0">
      <w:pPr>
        <w:spacing w:line="360" w:lineRule="auto"/>
        <w:jc w:val="both"/>
        <w:rPr>
          <w:rFonts w:ascii="Times New Roman" w:hAnsi="Times New Roman" w:cs="Times New Roman"/>
          <w:sz w:val="24"/>
          <w:szCs w:val="24"/>
        </w:rPr>
      </w:pPr>
    </w:p>
    <w:p w:rsidR="00B147AB" w:rsidRDefault="00B147AB" w:rsidP="00D619E0">
      <w:pPr>
        <w:spacing w:line="360" w:lineRule="auto"/>
        <w:jc w:val="both"/>
        <w:rPr>
          <w:rFonts w:ascii="Times New Roman" w:hAnsi="Times New Roman" w:cs="Times New Roman"/>
          <w:sz w:val="24"/>
          <w:szCs w:val="24"/>
          <w:lang w:val="en-GB"/>
        </w:rPr>
      </w:pPr>
      <w:r w:rsidRPr="00B147AB">
        <w:rPr>
          <w:rFonts w:ascii="Times New Roman" w:hAnsi="Times New Roman" w:cs="Times New Roman"/>
          <w:sz w:val="24"/>
          <w:szCs w:val="24"/>
          <w:lang w:val="en-GB"/>
        </w:rPr>
        <w:t>One of the</w:t>
      </w:r>
      <w:r>
        <w:rPr>
          <w:rFonts w:ascii="Times New Roman" w:hAnsi="Times New Roman" w:cs="Times New Roman"/>
          <w:sz w:val="24"/>
          <w:szCs w:val="24"/>
          <w:lang w:val="en-GB"/>
        </w:rPr>
        <w:t xml:space="preserve"> most confrontational </w:t>
      </w:r>
      <w:r w:rsidRPr="00B147AB">
        <w:rPr>
          <w:rFonts w:ascii="Times New Roman" w:hAnsi="Times New Roman" w:cs="Times New Roman"/>
          <w:sz w:val="24"/>
          <w:szCs w:val="24"/>
          <w:lang w:val="en-GB"/>
        </w:rPr>
        <w:t xml:space="preserve">centralization measures was the </w:t>
      </w:r>
      <w:r w:rsidRPr="00B147AB">
        <w:rPr>
          <w:rFonts w:ascii="Times New Roman" w:hAnsi="Times New Roman" w:cs="Times New Roman"/>
          <w:b/>
          <w:sz w:val="24"/>
          <w:szCs w:val="24"/>
          <w:lang w:val="en-GB"/>
        </w:rPr>
        <w:t>banning of the sales of cigarettes</w:t>
      </w:r>
      <w:r w:rsidRPr="00B147AB">
        <w:rPr>
          <w:rFonts w:ascii="Times New Roman" w:hAnsi="Times New Roman" w:cs="Times New Roman"/>
          <w:sz w:val="24"/>
          <w:szCs w:val="24"/>
          <w:lang w:val="en-GB"/>
        </w:rPr>
        <w:t xml:space="preserve"> and the introduction of a concessionary system in 2013.   Under the official pretext of protecting the health of minors, the new system reduced the sales points from 42 thousand to 6 thousand.  All previously operating sales points (e.g. food shops, petrol stations, restaurants, cafes) were banned and the newly issued tobacco licences were tendered.  As it turned out, the licences were given to political friends and friends of the political friends through a point-based tendering, where</w:t>
      </w:r>
      <w:r>
        <w:rPr>
          <w:rFonts w:ascii="Times New Roman" w:hAnsi="Times New Roman" w:cs="Times New Roman"/>
          <w:sz w:val="24"/>
          <w:szCs w:val="24"/>
          <w:lang w:val="en-GB"/>
        </w:rPr>
        <w:t xml:space="preserve"> – as explained above – subjective judgments were honoured with high number of points.  In this way, the end-result was already fixed prior to the tender, and potential bidders (including the former tobacco shop owners) were discouraged to participate.</w:t>
      </w:r>
    </w:p>
    <w:p w:rsidR="00BF4B53" w:rsidRPr="00B147AB" w:rsidRDefault="00BF4B53" w:rsidP="00D619E0">
      <w:pPr>
        <w:spacing w:line="360" w:lineRule="auto"/>
        <w:jc w:val="both"/>
        <w:rPr>
          <w:rFonts w:ascii="Times New Roman" w:hAnsi="Times New Roman" w:cs="Times New Roman"/>
          <w:sz w:val="24"/>
          <w:szCs w:val="24"/>
          <w:lang w:val="en-GB"/>
        </w:rPr>
      </w:pPr>
    </w:p>
    <w:p w:rsidR="00D71D37" w:rsidRDefault="00FE16E4" w:rsidP="00FE16E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IV.</w:t>
      </w:r>
    </w:p>
    <w:p w:rsidR="00011525" w:rsidRDefault="002669B6" w:rsidP="00D619E0">
      <w:pPr>
        <w:spacing w:line="360" w:lineRule="auto"/>
        <w:jc w:val="both"/>
        <w:rPr>
          <w:rFonts w:ascii="Times New Roman" w:hAnsi="Times New Roman" w:cs="Times New Roman"/>
          <w:sz w:val="24"/>
          <w:szCs w:val="24"/>
          <w:lang w:val="en-GB"/>
        </w:rPr>
      </w:pPr>
      <w:r w:rsidRPr="002669B6">
        <w:rPr>
          <w:rFonts w:ascii="Times New Roman" w:hAnsi="Times New Roman" w:cs="Times New Roman"/>
          <w:i/>
          <w:sz w:val="24"/>
          <w:szCs w:val="24"/>
        </w:rPr>
        <w:t>Results and explanations</w:t>
      </w:r>
      <w:r>
        <w:rPr>
          <w:rFonts w:ascii="Times New Roman" w:hAnsi="Times New Roman" w:cs="Times New Roman"/>
          <w:sz w:val="24"/>
          <w:szCs w:val="24"/>
        </w:rPr>
        <w:t xml:space="preserve">.   </w:t>
      </w:r>
      <w:r w:rsidR="00FE16E4" w:rsidRPr="00CA1DF4">
        <w:rPr>
          <w:rFonts w:ascii="Times New Roman" w:hAnsi="Times New Roman" w:cs="Times New Roman"/>
          <w:sz w:val="24"/>
          <w:szCs w:val="24"/>
          <w:lang w:val="en-GB"/>
        </w:rPr>
        <w:t xml:space="preserve">In conclusion, we would like to offer the Polish readers </w:t>
      </w:r>
      <w:r>
        <w:rPr>
          <w:rFonts w:ascii="Times New Roman" w:hAnsi="Times New Roman" w:cs="Times New Roman"/>
          <w:sz w:val="24"/>
          <w:szCs w:val="24"/>
          <w:lang w:val="en-GB"/>
        </w:rPr>
        <w:t>a succinct assessment of Hungary’s economic performance during the period under investigation</w:t>
      </w:r>
      <w:r w:rsidR="0001152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Then, we shall try to present </w:t>
      </w:r>
      <w:r w:rsidR="00FE16E4" w:rsidRPr="00CA1DF4">
        <w:rPr>
          <w:rFonts w:ascii="Times New Roman" w:hAnsi="Times New Roman" w:cs="Times New Roman"/>
          <w:sz w:val="24"/>
          <w:szCs w:val="24"/>
          <w:lang w:val="en-GB"/>
        </w:rPr>
        <w:t>a coherent explanation of the described events.</w:t>
      </w:r>
    </w:p>
    <w:p w:rsidR="002669B6" w:rsidRDefault="002669B6" w:rsidP="00D619E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convenient way to assess Hungary’s economic performance is to measure it against its peers.  In FIGURE 3, Hungary’s per capita GDP growth is compared to average performance of the 28 EU member countries and that of Poland.</w:t>
      </w:r>
      <w:r w:rsidR="00011525">
        <w:rPr>
          <w:rFonts w:ascii="Times New Roman" w:hAnsi="Times New Roman" w:cs="Times New Roman"/>
          <w:sz w:val="24"/>
          <w:szCs w:val="24"/>
          <w:lang w:val="en-GB"/>
        </w:rPr>
        <w:t xml:space="preserve">   The comparison is lethargic from a Hungarian perspective.</w:t>
      </w:r>
    </w:p>
    <w:p w:rsidR="002669B6" w:rsidRDefault="002669B6" w:rsidP="00D619E0">
      <w:pPr>
        <w:spacing w:line="360" w:lineRule="auto"/>
        <w:jc w:val="both"/>
        <w:rPr>
          <w:rFonts w:ascii="Times New Roman" w:hAnsi="Times New Roman" w:cs="Times New Roman"/>
          <w:sz w:val="24"/>
          <w:szCs w:val="24"/>
          <w:lang w:val="en-GB"/>
        </w:rPr>
      </w:pPr>
    </w:p>
    <w:p w:rsidR="002669B6" w:rsidRPr="002669B6" w:rsidRDefault="002669B6" w:rsidP="002669B6">
      <w:pPr>
        <w:spacing w:line="360" w:lineRule="auto"/>
        <w:jc w:val="both"/>
        <w:rPr>
          <w:rFonts w:ascii="Times New Roman" w:hAnsi="Times New Roman" w:cs="Times New Roman"/>
          <w:sz w:val="24"/>
          <w:szCs w:val="24"/>
          <w:lang w:val="en-GB"/>
        </w:rPr>
      </w:pPr>
      <w:r w:rsidRPr="00265113">
        <w:rPr>
          <w:rFonts w:ascii="Times New Roman" w:hAnsi="Times New Roman" w:cs="Times New Roman"/>
          <w:b/>
          <w:sz w:val="24"/>
          <w:szCs w:val="24"/>
          <w:lang w:val="en-GB"/>
        </w:rPr>
        <w:t>FIGURE 3</w:t>
      </w:r>
      <w:r>
        <w:rPr>
          <w:rFonts w:ascii="Times New Roman" w:hAnsi="Times New Roman" w:cs="Times New Roman"/>
          <w:sz w:val="24"/>
          <w:szCs w:val="24"/>
          <w:lang w:val="en-GB"/>
        </w:rPr>
        <w:t xml:space="preserve">: </w:t>
      </w:r>
      <w:r w:rsidRPr="002669B6">
        <w:rPr>
          <w:rFonts w:ascii="Times New Roman" w:hAnsi="Times New Roman" w:cs="Times New Roman"/>
          <w:sz w:val="24"/>
          <w:szCs w:val="24"/>
          <w:lang w:val="en-GB"/>
        </w:rPr>
        <w:t>GDP per capita in PPS</w:t>
      </w:r>
      <w:r>
        <w:rPr>
          <w:rFonts w:ascii="Times New Roman" w:hAnsi="Times New Roman" w:cs="Times New Roman"/>
          <w:sz w:val="24"/>
          <w:szCs w:val="24"/>
          <w:lang w:val="en-GB"/>
        </w:rPr>
        <w:t xml:space="preserve">, 2004  </w:t>
      </w:r>
    </w:p>
    <w:p w:rsidR="002669B6" w:rsidRDefault="002669B6" w:rsidP="002669B6">
      <w:pPr>
        <w:spacing w:line="360" w:lineRule="auto"/>
        <w:jc w:val="center"/>
        <w:rPr>
          <w:rFonts w:ascii="Times New Roman" w:hAnsi="Times New Roman" w:cs="Times New Roman"/>
          <w:sz w:val="24"/>
          <w:szCs w:val="24"/>
          <w:lang w:val="en-GB"/>
        </w:rPr>
      </w:pPr>
      <w:r w:rsidRPr="002669B6">
        <w:rPr>
          <w:rFonts w:ascii="Times New Roman" w:hAnsi="Times New Roman" w:cs="Times New Roman"/>
          <w:sz w:val="24"/>
          <w:szCs w:val="24"/>
          <w:lang w:val="en-GB"/>
        </w:rPr>
        <w:t>Index (EU28 = 100)</w:t>
      </w:r>
    </w:p>
    <w:p w:rsidR="002669B6" w:rsidRDefault="002669B6" w:rsidP="00D619E0">
      <w:pPr>
        <w:spacing w:line="360" w:lineRule="auto"/>
        <w:jc w:val="both"/>
        <w:rPr>
          <w:rFonts w:ascii="Times New Roman" w:hAnsi="Times New Roman" w:cs="Times New Roman"/>
          <w:sz w:val="24"/>
          <w:szCs w:val="24"/>
          <w:lang w:val="en-GB"/>
        </w:rPr>
      </w:pPr>
      <w:r w:rsidRPr="003D3A46">
        <w:rPr>
          <w:rFonts w:ascii="Times New Roman" w:hAnsi="Times New Roman" w:cs="Times New Roman"/>
          <w:sz w:val="24"/>
          <w:szCs w:val="24"/>
          <w:lang w:val="en-GB"/>
        </w:rPr>
        <w:object w:dxaOrig="7218" w:dyaOrig="4088">
          <v:shape id="_x0000_i1027" type="#_x0000_t75" style="width:360.75pt;height:204pt" o:ole="">
            <v:imagedata r:id="rId18" o:title=""/>
          </v:shape>
          <o:OLEObject Type="Embed" ProgID="Excel.Sheet.12" ShapeID="_x0000_i1027" DrawAspect="Content" ObjectID="_1536555851" r:id="rId19"/>
        </w:object>
      </w:r>
    </w:p>
    <w:p w:rsidR="0030516E" w:rsidRPr="00265113" w:rsidRDefault="0030516E" w:rsidP="00D619E0">
      <w:pPr>
        <w:spacing w:line="360" w:lineRule="auto"/>
        <w:jc w:val="both"/>
        <w:rPr>
          <w:rFonts w:ascii="Times New Roman" w:hAnsi="Times New Roman" w:cs="Times New Roman"/>
          <w:sz w:val="20"/>
          <w:szCs w:val="20"/>
          <w:lang w:val="en-GB"/>
        </w:rPr>
      </w:pPr>
      <w:r w:rsidRPr="00265113">
        <w:rPr>
          <w:rFonts w:ascii="Times New Roman" w:hAnsi="Times New Roman" w:cs="Times New Roman"/>
          <w:b/>
          <w:sz w:val="20"/>
          <w:szCs w:val="20"/>
          <w:lang w:val="en-GB"/>
        </w:rPr>
        <w:t>Source</w:t>
      </w:r>
      <w:r w:rsidRPr="00265113">
        <w:rPr>
          <w:rFonts w:ascii="Times New Roman" w:hAnsi="Times New Roman" w:cs="Times New Roman"/>
          <w:sz w:val="20"/>
          <w:szCs w:val="20"/>
          <w:lang w:val="en-GB"/>
        </w:rPr>
        <w:t>: Author’s calculation based on Eurostat data.</w:t>
      </w:r>
    </w:p>
    <w:p w:rsidR="0030516E" w:rsidRDefault="0030516E" w:rsidP="00D619E0">
      <w:pPr>
        <w:spacing w:line="360" w:lineRule="auto"/>
        <w:jc w:val="both"/>
        <w:rPr>
          <w:rFonts w:ascii="Times New Roman" w:hAnsi="Times New Roman" w:cs="Times New Roman"/>
          <w:sz w:val="24"/>
          <w:szCs w:val="24"/>
          <w:lang w:val="en-GB"/>
        </w:rPr>
      </w:pPr>
    </w:p>
    <w:p w:rsidR="0030516E" w:rsidRDefault="002669B6" w:rsidP="00D619E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 the graphs above clearly indicate, the 2</w:t>
      </w:r>
      <w:r w:rsidRPr="002669B6">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and 3</w:t>
      </w:r>
      <w:r w:rsidRPr="002669B6">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Orbán government</w:t>
      </w:r>
      <w:r w:rsidR="001214C4">
        <w:rPr>
          <w:rFonts w:ascii="Times New Roman" w:hAnsi="Times New Roman" w:cs="Times New Roman"/>
          <w:sz w:val="24"/>
          <w:szCs w:val="24"/>
          <w:lang w:val="en-GB"/>
        </w:rPr>
        <w:t>s</w:t>
      </w:r>
      <w:r>
        <w:rPr>
          <w:rFonts w:ascii="Times New Roman" w:hAnsi="Times New Roman" w:cs="Times New Roman"/>
          <w:sz w:val="24"/>
          <w:szCs w:val="24"/>
          <w:lang w:val="en-GB"/>
        </w:rPr>
        <w:t xml:space="preserve"> w</w:t>
      </w:r>
      <w:r w:rsidR="001214C4">
        <w:rPr>
          <w:rFonts w:ascii="Times New Roman" w:hAnsi="Times New Roman" w:cs="Times New Roman"/>
          <w:sz w:val="24"/>
          <w:szCs w:val="24"/>
          <w:lang w:val="en-GB"/>
        </w:rPr>
        <w:t>ere</w:t>
      </w:r>
      <w:r>
        <w:rPr>
          <w:rFonts w:ascii="Times New Roman" w:hAnsi="Times New Roman" w:cs="Times New Roman"/>
          <w:sz w:val="24"/>
          <w:szCs w:val="24"/>
          <w:lang w:val="en-GB"/>
        </w:rPr>
        <w:t xml:space="preserve"> unable to accelerate significantly Hungary’s growth and catching up process.  Th</w:t>
      </w:r>
      <w:r w:rsidR="001214C4">
        <w:rPr>
          <w:rFonts w:ascii="Times New Roman" w:hAnsi="Times New Roman" w:cs="Times New Roman"/>
          <w:sz w:val="24"/>
          <w:szCs w:val="24"/>
          <w:lang w:val="en-GB"/>
        </w:rPr>
        <w:t>e</w:t>
      </w:r>
      <w:r>
        <w:rPr>
          <w:rFonts w:ascii="Times New Roman" w:hAnsi="Times New Roman" w:cs="Times New Roman"/>
          <w:sz w:val="24"/>
          <w:szCs w:val="24"/>
          <w:lang w:val="en-GB"/>
        </w:rPr>
        <w:t xml:space="preserve"> slow </w:t>
      </w:r>
      <w:r w:rsidR="001214C4">
        <w:rPr>
          <w:rFonts w:ascii="Times New Roman" w:hAnsi="Times New Roman" w:cs="Times New Roman"/>
          <w:sz w:val="24"/>
          <w:szCs w:val="24"/>
          <w:lang w:val="en-GB"/>
        </w:rPr>
        <w:t xml:space="preserve">advancement </w:t>
      </w:r>
      <w:r>
        <w:rPr>
          <w:rFonts w:ascii="Times New Roman" w:hAnsi="Times New Roman" w:cs="Times New Roman"/>
          <w:sz w:val="24"/>
          <w:szCs w:val="24"/>
          <w:lang w:val="en-GB"/>
        </w:rPr>
        <w:t xml:space="preserve">is particularly striking, if the comparison is made with Poland.  Such a poor result begs for the second question.  </w:t>
      </w:r>
      <w:r w:rsidR="00FE16E4" w:rsidRPr="00CA1DF4">
        <w:rPr>
          <w:rFonts w:ascii="Times New Roman" w:hAnsi="Times New Roman" w:cs="Times New Roman"/>
          <w:sz w:val="24"/>
          <w:szCs w:val="24"/>
          <w:lang w:val="en-GB"/>
        </w:rPr>
        <w:t xml:space="preserve"> </w:t>
      </w:r>
      <w:r w:rsidR="0030516E">
        <w:rPr>
          <w:rFonts w:ascii="Times New Roman" w:hAnsi="Times New Roman" w:cs="Times New Roman"/>
          <w:sz w:val="24"/>
          <w:szCs w:val="24"/>
          <w:lang w:val="en-GB"/>
        </w:rPr>
        <w:t>After such a poor performance, w</w:t>
      </w:r>
      <w:r w:rsidR="00FE16E4" w:rsidRPr="00CA1DF4">
        <w:rPr>
          <w:rFonts w:ascii="Times New Roman" w:hAnsi="Times New Roman" w:cs="Times New Roman"/>
          <w:sz w:val="24"/>
          <w:szCs w:val="24"/>
          <w:lang w:val="en-GB"/>
        </w:rPr>
        <w:t xml:space="preserve">hy </w:t>
      </w:r>
      <w:r w:rsidR="00CA1DF4">
        <w:rPr>
          <w:rFonts w:ascii="Times New Roman" w:hAnsi="Times New Roman" w:cs="Times New Roman"/>
          <w:sz w:val="24"/>
          <w:szCs w:val="24"/>
          <w:lang w:val="en-GB"/>
        </w:rPr>
        <w:t xml:space="preserve">does </w:t>
      </w:r>
      <w:r>
        <w:rPr>
          <w:rFonts w:ascii="Times New Roman" w:hAnsi="Times New Roman" w:cs="Times New Roman"/>
          <w:sz w:val="24"/>
          <w:szCs w:val="24"/>
          <w:lang w:val="en-GB"/>
        </w:rPr>
        <w:t xml:space="preserve">Mr. </w:t>
      </w:r>
      <w:r w:rsidR="00FE16E4" w:rsidRPr="00CA1DF4">
        <w:rPr>
          <w:rFonts w:ascii="Times New Roman" w:hAnsi="Times New Roman" w:cs="Times New Roman"/>
          <w:sz w:val="24"/>
          <w:szCs w:val="24"/>
          <w:lang w:val="en-GB"/>
        </w:rPr>
        <w:t>Orbán</w:t>
      </w:r>
      <w:r w:rsidR="00CA1DF4">
        <w:rPr>
          <w:rFonts w:ascii="Times New Roman" w:hAnsi="Times New Roman" w:cs="Times New Roman"/>
          <w:sz w:val="24"/>
          <w:szCs w:val="24"/>
          <w:lang w:val="en-GB"/>
        </w:rPr>
        <w:t xml:space="preserve"> insist to</w:t>
      </w:r>
      <w:r w:rsidR="00AF18A0" w:rsidRPr="00CA1DF4">
        <w:rPr>
          <w:rFonts w:ascii="Times New Roman" w:hAnsi="Times New Roman" w:cs="Times New Roman"/>
          <w:sz w:val="24"/>
          <w:szCs w:val="24"/>
          <w:lang w:val="en-GB"/>
        </w:rPr>
        <w:t xml:space="preserve"> </w:t>
      </w:r>
      <w:r w:rsidR="00FE16E4" w:rsidRPr="00CA1DF4">
        <w:rPr>
          <w:rFonts w:ascii="Times New Roman" w:hAnsi="Times New Roman" w:cs="Times New Roman"/>
          <w:sz w:val="24"/>
          <w:szCs w:val="24"/>
          <w:lang w:val="en-GB"/>
        </w:rPr>
        <w:t>a seemingly senseless renationalization and recentralization campaign?</w:t>
      </w:r>
    </w:p>
    <w:p w:rsidR="009E43E7" w:rsidRDefault="00CA1DF4" w:rsidP="00D619E0">
      <w:pPr>
        <w:spacing w:line="360" w:lineRule="auto"/>
        <w:jc w:val="both"/>
        <w:rPr>
          <w:rFonts w:ascii="Times New Roman" w:hAnsi="Times New Roman" w:cs="Times New Roman"/>
          <w:sz w:val="24"/>
          <w:szCs w:val="24"/>
          <w:lang w:val="en-GB"/>
        </w:rPr>
      </w:pPr>
      <w:r w:rsidRPr="00CA1DF4">
        <w:rPr>
          <w:rFonts w:ascii="Times New Roman" w:hAnsi="Times New Roman" w:cs="Times New Roman"/>
          <w:sz w:val="24"/>
          <w:szCs w:val="24"/>
          <w:lang w:val="en-GB"/>
        </w:rPr>
        <w:lastRenderedPageBreak/>
        <w:t xml:space="preserve">Inside Hungary, but among the country’s foreign observers, there has been an ongoing debate </w:t>
      </w:r>
      <w:r>
        <w:rPr>
          <w:rFonts w:ascii="Times New Roman" w:hAnsi="Times New Roman" w:cs="Times New Roman"/>
          <w:sz w:val="24"/>
          <w:szCs w:val="24"/>
          <w:lang w:val="en-GB"/>
        </w:rPr>
        <w:t xml:space="preserve">on this question </w:t>
      </w:r>
      <w:r w:rsidRPr="00CA1DF4">
        <w:rPr>
          <w:rFonts w:ascii="Times New Roman" w:hAnsi="Times New Roman" w:cs="Times New Roman"/>
          <w:sz w:val="24"/>
          <w:szCs w:val="24"/>
          <w:lang w:val="en-GB"/>
        </w:rPr>
        <w:t>since</w:t>
      </w:r>
      <w:r>
        <w:rPr>
          <w:rFonts w:ascii="Times New Roman" w:hAnsi="Times New Roman" w:cs="Times New Roman"/>
          <w:sz w:val="24"/>
          <w:szCs w:val="24"/>
          <w:lang w:val="en-GB"/>
        </w:rPr>
        <w:t xml:space="preserve"> 2010.   One prominent and widely shared interpretation is the brain-child of Bálint Magyar</w:t>
      </w:r>
      <w:r w:rsidR="009E43E7">
        <w:rPr>
          <w:rFonts w:ascii="Times New Roman" w:hAnsi="Times New Roman" w:cs="Times New Roman"/>
          <w:sz w:val="24"/>
          <w:szCs w:val="24"/>
          <w:lang w:val="en-GB"/>
        </w:rPr>
        <w:t xml:space="preserve"> (2015)</w:t>
      </w:r>
      <w:r>
        <w:rPr>
          <w:rFonts w:ascii="Times New Roman" w:hAnsi="Times New Roman" w:cs="Times New Roman"/>
          <w:sz w:val="24"/>
          <w:szCs w:val="24"/>
          <w:lang w:val="en-GB"/>
        </w:rPr>
        <w:t xml:space="preserve">, a sociologist and a former Minister of </w:t>
      </w:r>
      <w:r w:rsidRPr="009E43E7">
        <w:rPr>
          <w:rFonts w:ascii="Times New Roman" w:hAnsi="Times New Roman" w:cs="Times New Roman"/>
          <w:sz w:val="24"/>
          <w:szCs w:val="24"/>
          <w:lang w:val="en-GB"/>
        </w:rPr>
        <w:t>Education.   According to him, the prime mover of the 2</w:t>
      </w:r>
      <w:r w:rsidRPr="009E43E7">
        <w:rPr>
          <w:rFonts w:ascii="Times New Roman" w:hAnsi="Times New Roman" w:cs="Times New Roman"/>
          <w:sz w:val="24"/>
          <w:szCs w:val="24"/>
          <w:vertAlign w:val="superscript"/>
          <w:lang w:val="en-GB"/>
        </w:rPr>
        <w:t>nd</w:t>
      </w:r>
      <w:r w:rsidRPr="009E43E7">
        <w:rPr>
          <w:rFonts w:ascii="Times New Roman" w:hAnsi="Times New Roman" w:cs="Times New Roman"/>
          <w:sz w:val="24"/>
          <w:szCs w:val="24"/>
          <w:lang w:val="en-GB"/>
        </w:rPr>
        <w:t xml:space="preserve"> and 3</w:t>
      </w:r>
      <w:r w:rsidRPr="009E43E7">
        <w:rPr>
          <w:rFonts w:ascii="Times New Roman" w:hAnsi="Times New Roman" w:cs="Times New Roman"/>
          <w:sz w:val="24"/>
          <w:szCs w:val="24"/>
          <w:vertAlign w:val="superscript"/>
          <w:lang w:val="en-GB"/>
        </w:rPr>
        <w:t>rd</w:t>
      </w:r>
      <w:r w:rsidRPr="009E43E7">
        <w:rPr>
          <w:rFonts w:ascii="Times New Roman" w:hAnsi="Times New Roman" w:cs="Times New Roman"/>
          <w:sz w:val="24"/>
          <w:szCs w:val="24"/>
          <w:lang w:val="en-GB"/>
        </w:rPr>
        <w:t xml:space="preserve"> Orbán government</w:t>
      </w:r>
      <w:r w:rsidR="00CC1C0D">
        <w:rPr>
          <w:rFonts w:ascii="Times New Roman" w:hAnsi="Times New Roman" w:cs="Times New Roman"/>
          <w:sz w:val="24"/>
          <w:szCs w:val="24"/>
          <w:lang w:val="en-GB"/>
        </w:rPr>
        <w:t>s</w:t>
      </w:r>
      <w:r w:rsidRPr="009E43E7">
        <w:rPr>
          <w:rFonts w:ascii="Times New Roman" w:hAnsi="Times New Roman" w:cs="Times New Roman"/>
          <w:sz w:val="24"/>
          <w:szCs w:val="24"/>
          <w:lang w:val="en-GB"/>
        </w:rPr>
        <w:t xml:space="preserve"> and their closest supporters is their wish to enrich themselves and their “extended family” which includes not only family members, but also their political and business clientele as well.  </w:t>
      </w:r>
      <w:r w:rsidR="009E43E7" w:rsidRPr="009E43E7">
        <w:rPr>
          <w:rFonts w:ascii="Times New Roman" w:hAnsi="Times New Roman" w:cs="Times New Roman"/>
          <w:sz w:val="24"/>
          <w:szCs w:val="24"/>
          <w:lang w:val="en-GB"/>
        </w:rPr>
        <w:t xml:space="preserve">While the traditional mafia channelled wealth and economic players into its spheres of influence by means of direct coercion, the mafia state </w:t>
      </w:r>
      <w:r w:rsidR="00CC1C0D">
        <w:rPr>
          <w:rFonts w:ascii="Times New Roman" w:hAnsi="Times New Roman" w:cs="Times New Roman"/>
          <w:sz w:val="24"/>
          <w:szCs w:val="24"/>
          <w:lang w:val="en-GB"/>
        </w:rPr>
        <w:t xml:space="preserve">– as Magyar labels the Orbán-regime - </w:t>
      </w:r>
      <w:r w:rsidR="009E43E7" w:rsidRPr="009E43E7">
        <w:rPr>
          <w:rFonts w:ascii="Times New Roman" w:hAnsi="Times New Roman" w:cs="Times New Roman"/>
          <w:sz w:val="24"/>
          <w:szCs w:val="24"/>
          <w:lang w:val="en-GB"/>
        </w:rPr>
        <w:t>does the same by means of parliamentary legislation</w:t>
      </w:r>
      <w:r w:rsidR="00CC1C0D">
        <w:rPr>
          <w:rFonts w:ascii="Times New Roman" w:hAnsi="Times New Roman" w:cs="Times New Roman"/>
          <w:sz w:val="24"/>
          <w:szCs w:val="24"/>
          <w:lang w:val="en-GB"/>
        </w:rPr>
        <w:t xml:space="preserve"> and selective criminalization of their opponents.   </w:t>
      </w:r>
      <w:r w:rsidRPr="009E43E7">
        <w:rPr>
          <w:rFonts w:ascii="Times New Roman" w:hAnsi="Times New Roman" w:cs="Times New Roman"/>
          <w:sz w:val="24"/>
          <w:szCs w:val="24"/>
          <w:lang w:val="en-GB"/>
        </w:rPr>
        <w:t>The other extreme position has been taken by the writer and essayist Rudolf Ungváry.  He has been arguing for many years that the Orbán-regime is a “</w:t>
      </w:r>
      <w:r w:rsidRPr="009E43E7">
        <w:rPr>
          <w:rFonts w:ascii="Times New Roman" w:hAnsi="Times New Roman" w:cs="Times New Roman"/>
          <w:i/>
          <w:sz w:val="24"/>
          <w:szCs w:val="24"/>
          <w:lang w:val="en-GB"/>
        </w:rPr>
        <w:t>fascistoid mutation</w:t>
      </w:r>
      <w:r w:rsidRPr="009E43E7">
        <w:rPr>
          <w:rFonts w:ascii="Times New Roman" w:hAnsi="Times New Roman" w:cs="Times New Roman"/>
          <w:sz w:val="24"/>
          <w:szCs w:val="24"/>
          <w:lang w:val="en-GB"/>
        </w:rPr>
        <w:t>” primarily driven by a backward looking ideology derived from the fall out of the 1930s, the regimes of Mussolini, Hitler and the Hungarian leader Miklós Horthy.</w:t>
      </w:r>
      <w:r w:rsidR="009E43E7" w:rsidRPr="009E43E7">
        <w:rPr>
          <w:rStyle w:val="FootnoteReference"/>
          <w:rFonts w:ascii="Times New Roman" w:hAnsi="Times New Roman" w:cs="Times New Roman"/>
          <w:sz w:val="24"/>
          <w:szCs w:val="24"/>
          <w:lang w:val="en-GB"/>
        </w:rPr>
        <w:footnoteReference w:id="20"/>
      </w:r>
    </w:p>
    <w:p w:rsidR="00BF4B53" w:rsidRDefault="009E43E7" w:rsidP="00BA19D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While we accept both extreme opinions to a certain extent, in our opinion the remnants of the communist planning ideology</w:t>
      </w:r>
      <w:r w:rsidR="005E69A1">
        <w:rPr>
          <w:rFonts w:ascii="Times New Roman" w:hAnsi="Times New Roman" w:cs="Times New Roman"/>
          <w:sz w:val="24"/>
          <w:szCs w:val="24"/>
          <w:lang w:val="en-GB"/>
        </w:rPr>
        <w:t xml:space="preserve"> are also playing a</w:t>
      </w:r>
      <w:r w:rsidR="00CC1C0D">
        <w:rPr>
          <w:rFonts w:ascii="Times New Roman" w:hAnsi="Times New Roman" w:cs="Times New Roman"/>
          <w:sz w:val="24"/>
          <w:szCs w:val="24"/>
          <w:lang w:val="en-GB"/>
        </w:rPr>
        <w:t xml:space="preserve">n important </w:t>
      </w:r>
      <w:r w:rsidR="005E69A1">
        <w:rPr>
          <w:rFonts w:ascii="Times New Roman" w:hAnsi="Times New Roman" w:cs="Times New Roman"/>
          <w:sz w:val="24"/>
          <w:szCs w:val="24"/>
          <w:lang w:val="en-GB"/>
        </w:rPr>
        <w:t>role in policy formulation.  Both Mr. Orbán and his closest economic aid – György Matolcsy, a long time Minister of Economics and currently President of the National Bank – learned economics under the communist system.</w:t>
      </w:r>
      <w:r w:rsidR="00C46864">
        <w:rPr>
          <w:rStyle w:val="FootnoteReference"/>
          <w:rFonts w:ascii="Times New Roman" w:hAnsi="Times New Roman" w:cs="Times New Roman"/>
          <w:sz w:val="24"/>
          <w:szCs w:val="24"/>
          <w:lang w:val="en-GB"/>
        </w:rPr>
        <w:footnoteReference w:id="21"/>
      </w:r>
      <w:r w:rsidR="005E69A1">
        <w:rPr>
          <w:rFonts w:ascii="Times New Roman" w:hAnsi="Times New Roman" w:cs="Times New Roman"/>
          <w:sz w:val="24"/>
          <w:szCs w:val="24"/>
          <w:lang w:val="en-GB"/>
        </w:rPr>
        <w:t xml:space="preserve">  They honestly seem to believe in the superiority of </w:t>
      </w:r>
      <w:r w:rsidR="005E69A1" w:rsidRPr="005E69A1">
        <w:rPr>
          <w:rFonts w:ascii="Times New Roman" w:hAnsi="Times New Roman" w:cs="Times New Roman"/>
          <w:i/>
          <w:sz w:val="24"/>
          <w:szCs w:val="24"/>
          <w:lang w:val="en-GB"/>
        </w:rPr>
        <w:t xml:space="preserve">ex ante </w:t>
      </w:r>
      <w:r w:rsidR="005E69A1">
        <w:rPr>
          <w:rFonts w:ascii="Times New Roman" w:hAnsi="Times New Roman" w:cs="Times New Roman"/>
          <w:sz w:val="24"/>
          <w:szCs w:val="24"/>
          <w:lang w:val="en-GB"/>
        </w:rPr>
        <w:t>direct decision-making, as opposed to the rules of free markets which are incalculable, slow and lead to equilibrium only ex post.</w:t>
      </w:r>
      <w:r w:rsidR="005E69A1">
        <w:rPr>
          <w:rStyle w:val="FootnoteReference"/>
          <w:rFonts w:ascii="Times New Roman" w:hAnsi="Times New Roman" w:cs="Times New Roman"/>
          <w:sz w:val="24"/>
          <w:szCs w:val="24"/>
          <w:lang w:val="en-GB"/>
        </w:rPr>
        <w:footnoteReference w:id="22"/>
      </w:r>
      <w:r w:rsidR="005E69A1">
        <w:rPr>
          <w:rFonts w:ascii="Times New Roman" w:hAnsi="Times New Roman" w:cs="Times New Roman"/>
          <w:sz w:val="24"/>
          <w:szCs w:val="24"/>
          <w:lang w:val="en-GB"/>
        </w:rPr>
        <w:t xml:space="preserve">  </w:t>
      </w:r>
      <w:r w:rsidR="00A47434">
        <w:rPr>
          <w:rFonts w:ascii="Times New Roman" w:hAnsi="Times New Roman" w:cs="Times New Roman"/>
          <w:sz w:val="24"/>
          <w:szCs w:val="24"/>
          <w:lang w:val="en-GB"/>
        </w:rPr>
        <w:t xml:space="preserve">It is not by chance, </w:t>
      </w:r>
      <w:r w:rsidR="00B41848">
        <w:rPr>
          <w:rFonts w:ascii="Times New Roman" w:hAnsi="Times New Roman" w:cs="Times New Roman"/>
          <w:sz w:val="24"/>
          <w:szCs w:val="24"/>
          <w:lang w:val="en-GB"/>
        </w:rPr>
        <w:t>that during the past six years, a number of macroeconomic and sectoral policy documents w</w:t>
      </w:r>
      <w:r w:rsidR="003248D1">
        <w:rPr>
          <w:rFonts w:ascii="Times New Roman" w:hAnsi="Times New Roman" w:cs="Times New Roman"/>
          <w:sz w:val="24"/>
          <w:szCs w:val="24"/>
          <w:lang w:val="en-GB"/>
        </w:rPr>
        <w:t xml:space="preserve">ere </w:t>
      </w:r>
      <w:r w:rsidR="00A47434">
        <w:rPr>
          <w:rFonts w:ascii="Times New Roman" w:hAnsi="Times New Roman" w:cs="Times New Roman"/>
          <w:sz w:val="24"/>
          <w:szCs w:val="24"/>
          <w:lang w:val="en-GB"/>
        </w:rPr>
        <w:t xml:space="preserve">issued and publicized </w:t>
      </w:r>
      <w:r w:rsidR="003248D1">
        <w:rPr>
          <w:rFonts w:ascii="Times New Roman" w:hAnsi="Times New Roman" w:cs="Times New Roman"/>
          <w:sz w:val="24"/>
          <w:szCs w:val="24"/>
          <w:lang w:val="en-GB"/>
        </w:rPr>
        <w:t xml:space="preserve">by </w:t>
      </w:r>
      <w:r w:rsidR="00A47434">
        <w:rPr>
          <w:rFonts w:ascii="Times New Roman" w:hAnsi="Times New Roman" w:cs="Times New Roman"/>
          <w:sz w:val="24"/>
          <w:szCs w:val="24"/>
          <w:lang w:val="en-GB"/>
        </w:rPr>
        <w:t xml:space="preserve">the government and they all carried the term “plan” in their </w:t>
      </w:r>
      <w:r w:rsidR="005A726E">
        <w:rPr>
          <w:rFonts w:ascii="Times New Roman" w:hAnsi="Times New Roman" w:cs="Times New Roman"/>
          <w:sz w:val="24"/>
          <w:szCs w:val="24"/>
          <w:lang w:val="en-GB"/>
        </w:rPr>
        <w:t>titles (</w:t>
      </w:r>
      <w:r w:rsidR="00A47434">
        <w:rPr>
          <w:rFonts w:ascii="Times New Roman" w:hAnsi="Times New Roman" w:cs="Times New Roman"/>
          <w:sz w:val="24"/>
          <w:szCs w:val="24"/>
          <w:lang w:val="en-GB"/>
        </w:rPr>
        <w:t xml:space="preserve">e.g. New </w:t>
      </w:r>
      <w:r w:rsidR="005A726E">
        <w:rPr>
          <w:rFonts w:ascii="Times New Roman" w:hAnsi="Times New Roman" w:cs="Times New Roman"/>
          <w:sz w:val="24"/>
          <w:szCs w:val="24"/>
          <w:lang w:val="en-GB"/>
        </w:rPr>
        <w:t>Széchenyi Plan</w:t>
      </w:r>
      <w:r w:rsidR="00A47434">
        <w:rPr>
          <w:rFonts w:ascii="Times New Roman" w:hAnsi="Times New Roman" w:cs="Times New Roman"/>
          <w:sz w:val="24"/>
          <w:szCs w:val="24"/>
          <w:lang w:val="en-GB"/>
        </w:rPr>
        <w:t>, Szél</w:t>
      </w:r>
      <w:r w:rsidR="00BA19D9">
        <w:rPr>
          <w:rFonts w:ascii="Times New Roman" w:hAnsi="Times New Roman" w:cs="Times New Roman"/>
          <w:sz w:val="24"/>
          <w:szCs w:val="24"/>
          <w:lang w:val="en-GB"/>
        </w:rPr>
        <w:t>l</w:t>
      </w:r>
      <w:r w:rsidR="00A47434">
        <w:rPr>
          <w:rFonts w:ascii="Times New Roman" w:hAnsi="Times New Roman" w:cs="Times New Roman"/>
          <w:sz w:val="24"/>
          <w:szCs w:val="24"/>
          <w:lang w:val="en-GB"/>
        </w:rPr>
        <w:t xml:space="preserve"> Kálmán Plan).</w:t>
      </w:r>
      <w:r w:rsidR="005E69A1">
        <w:rPr>
          <w:rFonts w:ascii="Times New Roman" w:hAnsi="Times New Roman" w:cs="Times New Roman"/>
          <w:sz w:val="24"/>
          <w:szCs w:val="24"/>
          <w:lang w:val="en-GB"/>
        </w:rPr>
        <w:t xml:space="preserve">  </w:t>
      </w:r>
      <w:r w:rsidR="00BA19D9">
        <w:rPr>
          <w:rFonts w:ascii="Times New Roman" w:hAnsi="Times New Roman" w:cs="Times New Roman"/>
          <w:sz w:val="24"/>
          <w:szCs w:val="24"/>
          <w:lang w:val="en-GB"/>
        </w:rPr>
        <w:t xml:space="preserve">The case of present day Hungary once again illustrates the wisdom of Lord Keynes (1936) who famously stated in the very last paragraph of his </w:t>
      </w:r>
      <w:r w:rsidR="00BA19D9" w:rsidRPr="00862FEA">
        <w:rPr>
          <w:rFonts w:ascii="Times New Roman" w:hAnsi="Times New Roman" w:cs="Times New Roman"/>
          <w:i/>
          <w:sz w:val="24"/>
          <w:szCs w:val="24"/>
          <w:lang w:val="en-GB"/>
        </w:rPr>
        <w:t>magnum opus</w:t>
      </w:r>
      <w:r w:rsidR="00BA19D9">
        <w:rPr>
          <w:rFonts w:ascii="Times New Roman" w:hAnsi="Times New Roman" w:cs="Times New Roman"/>
          <w:sz w:val="24"/>
          <w:szCs w:val="24"/>
          <w:lang w:val="en-GB"/>
        </w:rPr>
        <w:t xml:space="preserve"> that ideology is often more important than the economic actors </w:t>
      </w:r>
      <w:r w:rsidR="00862FEA">
        <w:rPr>
          <w:rFonts w:ascii="Times New Roman" w:hAnsi="Times New Roman" w:cs="Times New Roman"/>
          <w:sz w:val="24"/>
          <w:szCs w:val="24"/>
          <w:lang w:val="en-GB"/>
        </w:rPr>
        <w:t xml:space="preserve">think </w:t>
      </w:r>
      <w:r w:rsidR="00BA19D9">
        <w:rPr>
          <w:rFonts w:ascii="Times New Roman" w:hAnsi="Times New Roman" w:cs="Times New Roman"/>
          <w:sz w:val="24"/>
          <w:szCs w:val="24"/>
          <w:lang w:val="en-GB"/>
        </w:rPr>
        <w:t>themselves.  “(T)</w:t>
      </w:r>
      <w:r w:rsidR="00BA19D9" w:rsidRPr="00BA19D9">
        <w:rPr>
          <w:rFonts w:ascii="Times New Roman" w:hAnsi="Times New Roman" w:cs="Times New Roman"/>
          <w:sz w:val="24"/>
          <w:szCs w:val="24"/>
          <w:lang w:val="en-GB"/>
        </w:rPr>
        <w:t>he ideas of</w:t>
      </w:r>
      <w:r w:rsidR="00BA19D9">
        <w:rPr>
          <w:rFonts w:ascii="Times New Roman" w:hAnsi="Times New Roman" w:cs="Times New Roman"/>
          <w:sz w:val="24"/>
          <w:szCs w:val="24"/>
          <w:lang w:val="en-GB"/>
        </w:rPr>
        <w:t xml:space="preserve"> </w:t>
      </w:r>
      <w:r w:rsidR="00BA19D9" w:rsidRPr="00BA19D9">
        <w:rPr>
          <w:rFonts w:ascii="Times New Roman" w:hAnsi="Times New Roman" w:cs="Times New Roman"/>
          <w:sz w:val="24"/>
          <w:szCs w:val="24"/>
          <w:lang w:val="en-GB"/>
        </w:rPr>
        <w:t>economists and political philosophers, both when they are right and when they are wrong,</w:t>
      </w:r>
      <w:r w:rsidR="00BA19D9">
        <w:rPr>
          <w:rFonts w:ascii="Times New Roman" w:hAnsi="Times New Roman" w:cs="Times New Roman"/>
          <w:sz w:val="24"/>
          <w:szCs w:val="24"/>
          <w:lang w:val="en-GB"/>
        </w:rPr>
        <w:t xml:space="preserve"> </w:t>
      </w:r>
      <w:r w:rsidR="00BA19D9" w:rsidRPr="00BA19D9">
        <w:rPr>
          <w:rFonts w:ascii="Times New Roman" w:hAnsi="Times New Roman" w:cs="Times New Roman"/>
          <w:sz w:val="24"/>
          <w:szCs w:val="24"/>
          <w:lang w:val="en-GB"/>
        </w:rPr>
        <w:t>are more powerful than is commonly understood. Indeed the world is ruled by little else.</w:t>
      </w:r>
      <w:r w:rsidR="00BA19D9">
        <w:rPr>
          <w:rFonts w:ascii="Times New Roman" w:hAnsi="Times New Roman" w:cs="Times New Roman"/>
          <w:sz w:val="24"/>
          <w:szCs w:val="24"/>
          <w:lang w:val="en-GB"/>
        </w:rPr>
        <w:t xml:space="preserve"> </w:t>
      </w:r>
      <w:r w:rsidR="00BA19D9" w:rsidRPr="00BA19D9">
        <w:rPr>
          <w:rFonts w:ascii="Times New Roman" w:hAnsi="Times New Roman" w:cs="Times New Roman"/>
          <w:sz w:val="24"/>
          <w:szCs w:val="24"/>
          <w:lang w:val="en-GB"/>
        </w:rPr>
        <w:t>Practical men, who believe themselves to be quite exempt from any intellectual</w:t>
      </w:r>
      <w:r w:rsidR="00BA19D9">
        <w:rPr>
          <w:rFonts w:ascii="Times New Roman" w:hAnsi="Times New Roman" w:cs="Times New Roman"/>
          <w:sz w:val="24"/>
          <w:szCs w:val="24"/>
          <w:lang w:val="en-GB"/>
        </w:rPr>
        <w:t xml:space="preserve"> </w:t>
      </w:r>
      <w:r w:rsidR="00BA19D9" w:rsidRPr="00BA19D9">
        <w:rPr>
          <w:rFonts w:ascii="Times New Roman" w:hAnsi="Times New Roman" w:cs="Times New Roman"/>
          <w:sz w:val="24"/>
          <w:szCs w:val="24"/>
          <w:lang w:val="en-GB"/>
        </w:rPr>
        <w:t xml:space="preserve">influences, are usually </w:t>
      </w:r>
      <w:r w:rsidR="00BA19D9" w:rsidRPr="00BA19D9">
        <w:rPr>
          <w:rFonts w:ascii="Times New Roman" w:hAnsi="Times New Roman" w:cs="Times New Roman"/>
          <w:sz w:val="24"/>
          <w:szCs w:val="24"/>
          <w:lang w:val="en-GB"/>
        </w:rPr>
        <w:lastRenderedPageBreak/>
        <w:t xml:space="preserve">the slaves of some defunct economist. </w:t>
      </w:r>
      <w:r w:rsidR="00BA19D9">
        <w:rPr>
          <w:rFonts w:ascii="Times New Roman" w:hAnsi="Times New Roman" w:cs="Times New Roman"/>
          <w:sz w:val="24"/>
          <w:szCs w:val="24"/>
          <w:lang w:val="en-GB"/>
        </w:rPr>
        <w:t xml:space="preserve"> </w:t>
      </w:r>
      <w:r w:rsidR="00BA19D9" w:rsidRPr="00BA19D9">
        <w:rPr>
          <w:rFonts w:ascii="Times New Roman" w:hAnsi="Times New Roman" w:cs="Times New Roman"/>
          <w:sz w:val="24"/>
          <w:szCs w:val="24"/>
          <w:lang w:val="en-GB"/>
        </w:rPr>
        <w:t>Madmen in authority, who</w:t>
      </w:r>
      <w:r w:rsidR="00BA19D9">
        <w:rPr>
          <w:rFonts w:ascii="Times New Roman" w:hAnsi="Times New Roman" w:cs="Times New Roman"/>
          <w:sz w:val="24"/>
          <w:szCs w:val="24"/>
          <w:lang w:val="en-GB"/>
        </w:rPr>
        <w:t xml:space="preserve"> </w:t>
      </w:r>
      <w:r w:rsidR="00BA19D9" w:rsidRPr="00BA19D9">
        <w:rPr>
          <w:rFonts w:ascii="Times New Roman" w:hAnsi="Times New Roman" w:cs="Times New Roman"/>
          <w:sz w:val="24"/>
          <w:szCs w:val="24"/>
          <w:lang w:val="en-GB"/>
        </w:rPr>
        <w:t>hear voices in the air, are distilling their frenzy from some academic scribbler of a few</w:t>
      </w:r>
      <w:r w:rsidR="00BA19D9">
        <w:rPr>
          <w:rFonts w:ascii="Times New Roman" w:hAnsi="Times New Roman" w:cs="Times New Roman"/>
          <w:sz w:val="24"/>
          <w:szCs w:val="24"/>
          <w:lang w:val="en-GB"/>
        </w:rPr>
        <w:t xml:space="preserve"> </w:t>
      </w:r>
      <w:r w:rsidR="00BA19D9" w:rsidRPr="00BA19D9">
        <w:rPr>
          <w:rFonts w:ascii="Times New Roman" w:hAnsi="Times New Roman" w:cs="Times New Roman"/>
          <w:sz w:val="24"/>
          <w:szCs w:val="24"/>
          <w:lang w:val="en-GB"/>
        </w:rPr>
        <w:t>years back. I am sure that the power of vested interests is vastly exaggerated compared</w:t>
      </w:r>
      <w:r w:rsidR="00BA19D9">
        <w:rPr>
          <w:rFonts w:ascii="Times New Roman" w:hAnsi="Times New Roman" w:cs="Times New Roman"/>
          <w:sz w:val="24"/>
          <w:szCs w:val="24"/>
          <w:lang w:val="en-GB"/>
        </w:rPr>
        <w:t xml:space="preserve"> </w:t>
      </w:r>
      <w:r w:rsidR="00BA19D9" w:rsidRPr="00BA19D9">
        <w:rPr>
          <w:rFonts w:ascii="Times New Roman" w:hAnsi="Times New Roman" w:cs="Times New Roman"/>
          <w:sz w:val="24"/>
          <w:szCs w:val="24"/>
          <w:lang w:val="en-GB"/>
        </w:rPr>
        <w:t>with the gradual encroachment of ideas. Not, indeed, immediately, but after a certain</w:t>
      </w:r>
      <w:r w:rsidR="00BA19D9">
        <w:rPr>
          <w:rFonts w:ascii="Times New Roman" w:hAnsi="Times New Roman" w:cs="Times New Roman"/>
          <w:sz w:val="24"/>
          <w:szCs w:val="24"/>
          <w:lang w:val="en-GB"/>
        </w:rPr>
        <w:t xml:space="preserve"> </w:t>
      </w:r>
      <w:r w:rsidR="00BA19D9" w:rsidRPr="00BA19D9">
        <w:rPr>
          <w:rFonts w:ascii="Times New Roman" w:hAnsi="Times New Roman" w:cs="Times New Roman"/>
          <w:sz w:val="24"/>
          <w:szCs w:val="24"/>
          <w:lang w:val="en-GB"/>
        </w:rPr>
        <w:t>interval; for in the field of economic and political philosophy there are not many who are</w:t>
      </w:r>
      <w:r w:rsidR="00BA19D9">
        <w:rPr>
          <w:rFonts w:ascii="Times New Roman" w:hAnsi="Times New Roman" w:cs="Times New Roman"/>
          <w:sz w:val="24"/>
          <w:szCs w:val="24"/>
          <w:lang w:val="en-GB"/>
        </w:rPr>
        <w:t xml:space="preserve"> </w:t>
      </w:r>
      <w:r w:rsidR="00BA19D9" w:rsidRPr="00BA19D9">
        <w:rPr>
          <w:rFonts w:ascii="Times New Roman" w:hAnsi="Times New Roman" w:cs="Times New Roman"/>
          <w:sz w:val="24"/>
          <w:szCs w:val="24"/>
          <w:lang w:val="en-GB"/>
        </w:rPr>
        <w:t>influenced by new theories after they are twenty-five or thirty years of age, so that the</w:t>
      </w:r>
      <w:r w:rsidR="00BA19D9">
        <w:rPr>
          <w:rFonts w:ascii="Times New Roman" w:hAnsi="Times New Roman" w:cs="Times New Roman"/>
          <w:sz w:val="24"/>
          <w:szCs w:val="24"/>
          <w:lang w:val="en-GB"/>
        </w:rPr>
        <w:t xml:space="preserve"> </w:t>
      </w:r>
      <w:r w:rsidR="00BA19D9" w:rsidRPr="00BA19D9">
        <w:rPr>
          <w:rFonts w:ascii="Times New Roman" w:hAnsi="Times New Roman" w:cs="Times New Roman"/>
          <w:sz w:val="24"/>
          <w:szCs w:val="24"/>
          <w:lang w:val="en-GB"/>
        </w:rPr>
        <w:t>ideas which civil servants and politicians and even agitators apply to current events are</w:t>
      </w:r>
      <w:r w:rsidR="00BA19D9">
        <w:rPr>
          <w:rFonts w:ascii="Times New Roman" w:hAnsi="Times New Roman" w:cs="Times New Roman"/>
          <w:sz w:val="24"/>
          <w:szCs w:val="24"/>
          <w:lang w:val="en-GB"/>
        </w:rPr>
        <w:t xml:space="preserve"> </w:t>
      </w:r>
      <w:r w:rsidR="00BA19D9" w:rsidRPr="00BA19D9">
        <w:rPr>
          <w:rFonts w:ascii="Times New Roman" w:hAnsi="Times New Roman" w:cs="Times New Roman"/>
          <w:sz w:val="24"/>
          <w:szCs w:val="24"/>
          <w:lang w:val="en-GB"/>
        </w:rPr>
        <w:t>not likely to be the newest.</w:t>
      </w:r>
      <w:r w:rsidR="00BA19D9">
        <w:rPr>
          <w:rFonts w:ascii="Times New Roman" w:hAnsi="Times New Roman" w:cs="Times New Roman"/>
          <w:sz w:val="24"/>
          <w:szCs w:val="24"/>
          <w:lang w:val="en-GB"/>
        </w:rPr>
        <w:t xml:space="preserve">  </w:t>
      </w:r>
      <w:r w:rsidR="00BA19D9" w:rsidRPr="00BA19D9">
        <w:rPr>
          <w:rFonts w:ascii="Times New Roman" w:hAnsi="Times New Roman" w:cs="Times New Roman"/>
          <w:sz w:val="24"/>
          <w:szCs w:val="24"/>
          <w:lang w:val="en-GB"/>
        </w:rPr>
        <w:t>But, soon or late, it is ideas, not vested interests, which are</w:t>
      </w:r>
      <w:r w:rsidR="00BA19D9">
        <w:rPr>
          <w:rFonts w:ascii="Times New Roman" w:hAnsi="Times New Roman" w:cs="Times New Roman"/>
          <w:sz w:val="24"/>
          <w:szCs w:val="24"/>
          <w:lang w:val="en-GB"/>
        </w:rPr>
        <w:t xml:space="preserve"> </w:t>
      </w:r>
      <w:r w:rsidR="00BA19D9" w:rsidRPr="00BA19D9">
        <w:rPr>
          <w:rFonts w:ascii="Times New Roman" w:hAnsi="Times New Roman" w:cs="Times New Roman"/>
          <w:sz w:val="24"/>
          <w:szCs w:val="24"/>
          <w:lang w:val="en-GB"/>
        </w:rPr>
        <w:t>dangerous for good or evil.</w:t>
      </w:r>
      <w:r w:rsidR="00BA19D9">
        <w:rPr>
          <w:rFonts w:ascii="Times New Roman" w:hAnsi="Times New Roman" w:cs="Times New Roman"/>
          <w:sz w:val="24"/>
          <w:szCs w:val="24"/>
          <w:lang w:val="en-GB"/>
        </w:rPr>
        <w:t>”</w:t>
      </w:r>
      <w:r w:rsidR="00862FEA">
        <w:rPr>
          <w:rFonts w:ascii="Times New Roman" w:hAnsi="Times New Roman" w:cs="Times New Roman"/>
          <w:sz w:val="24"/>
          <w:szCs w:val="24"/>
          <w:lang w:val="en-GB"/>
        </w:rPr>
        <w:t xml:space="preserve"> (pp. 383-384).</w:t>
      </w:r>
    </w:p>
    <w:p w:rsidR="009E43E7" w:rsidRDefault="00BF4B53" w:rsidP="00BA19D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When </w:t>
      </w:r>
      <w:r w:rsidR="002766BE">
        <w:rPr>
          <w:rFonts w:ascii="Times New Roman" w:hAnsi="Times New Roman" w:cs="Times New Roman"/>
          <w:sz w:val="24"/>
          <w:szCs w:val="24"/>
          <w:lang w:val="en-GB"/>
        </w:rPr>
        <w:t>the next U-turn will</w:t>
      </w:r>
      <w:r>
        <w:rPr>
          <w:rFonts w:ascii="Times New Roman" w:hAnsi="Times New Roman" w:cs="Times New Roman"/>
          <w:sz w:val="24"/>
          <w:szCs w:val="24"/>
          <w:lang w:val="en-GB"/>
        </w:rPr>
        <w:t xml:space="preserve"> come, when and how Hungary will find back to </w:t>
      </w:r>
      <w:r w:rsidR="000C0293">
        <w:rPr>
          <w:rFonts w:ascii="Times New Roman" w:hAnsi="Times New Roman" w:cs="Times New Roman"/>
          <w:sz w:val="24"/>
          <w:szCs w:val="24"/>
          <w:lang w:val="en-GB"/>
        </w:rPr>
        <w:t>the path of</w:t>
      </w:r>
      <w:r w:rsidR="002766BE">
        <w:rPr>
          <w:rFonts w:ascii="Times New Roman" w:hAnsi="Times New Roman" w:cs="Times New Roman"/>
          <w:sz w:val="24"/>
          <w:szCs w:val="24"/>
          <w:lang w:val="en-GB"/>
        </w:rPr>
        <w:t xml:space="preserve"> </w:t>
      </w:r>
      <w:r w:rsidR="005A46AB">
        <w:rPr>
          <w:rFonts w:ascii="Times New Roman" w:hAnsi="Times New Roman" w:cs="Times New Roman"/>
          <w:sz w:val="24"/>
          <w:szCs w:val="24"/>
          <w:lang w:val="en-GB"/>
        </w:rPr>
        <w:t xml:space="preserve">market capitalism </w:t>
      </w:r>
      <w:r w:rsidR="002766BE">
        <w:rPr>
          <w:rFonts w:ascii="Times New Roman" w:hAnsi="Times New Roman" w:cs="Times New Roman"/>
          <w:sz w:val="24"/>
          <w:szCs w:val="24"/>
          <w:lang w:val="en-GB"/>
        </w:rPr>
        <w:t>–</w:t>
      </w:r>
      <w:r w:rsidR="005A46AB">
        <w:rPr>
          <w:rFonts w:ascii="Times New Roman" w:hAnsi="Times New Roman" w:cs="Times New Roman"/>
          <w:sz w:val="24"/>
          <w:szCs w:val="24"/>
          <w:lang w:val="en-GB"/>
        </w:rPr>
        <w:t xml:space="preserve"> </w:t>
      </w:r>
      <w:r w:rsidR="002766BE">
        <w:rPr>
          <w:rFonts w:ascii="Times New Roman" w:hAnsi="Times New Roman" w:cs="Times New Roman"/>
          <w:sz w:val="24"/>
          <w:szCs w:val="24"/>
          <w:lang w:val="en-GB"/>
        </w:rPr>
        <w:t xml:space="preserve">no one can predict at this point of time.  </w:t>
      </w:r>
      <w:r w:rsidR="000C0293">
        <w:rPr>
          <w:rFonts w:ascii="Times New Roman" w:hAnsi="Times New Roman" w:cs="Times New Roman"/>
          <w:sz w:val="24"/>
          <w:szCs w:val="24"/>
          <w:lang w:val="en-GB"/>
        </w:rPr>
        <w:t xml:space="preserve"> </w:t>
      </w:r>
      <w:r w:rsidR="00862FE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2766BE">
        <w:rPr>
          <w:rFonts w:ascii="Times New Roman" w:hAnsi="Times New Roman" w:cs="Times New Roman"/>
          <w:sz w:val="24"/>
          <w:szCs w:val="24"/>
          <w:lang w:val="en-GB"/>
        </w:rPr>
        <w:t xml:space="preserve">The two types of negative changes – renationalization and recentralization – </w:t>
      </w:r>
      <w:r w:rsidR="005A46AB">
        <w:rPr>
          <w:rFonts w:ascii="Times New Roman" w:hAnsi="Times New Roman" w:cs="Times New Roman"/>
          <w:sz w:val="24"/>
          <w:szCs w:val="24"/>
          <w:lang w:val="en-GB"/>
        </w:rPr>
        <w:t xml:space="preserve">which occurred so far </w:t>
      </w:r>
      <w:r w:rsidR="002766BE">
        <w:rPr>
          <w:rFonts w:ascii="Times New Roman" w:hAnsi="Times New Roman" w:cs="Times New Roman"/>
          <w:sz w:val="24"/>
          <w:szCs w:val="24"/>
          <w:lang w:val="en-GB"/>
        </w:rPr>
        <w:t xml:space="preserve">are not going to have the same long-term impact. The ownership changes </w:t>
      </w:r>
      <w:r w:rsidR="005A46AB">
        <w:rPr>
          <w:rFonts w:ascii="Times New Roman" w:hAnsi="Times New Roman" w:cs="Times New Roman"/>
          <w:sz w:val="24"/>
          <w:szCs w:val="24"/>
          <w:lang w:val="en-GB"/>
        </w:rPr>
        <w:t>were substantial</w:t>
      </w:r>
      <w:r w:rsidR="002766BE">
        <w:rPr>
          <w:rFonts w:ascii="Times New Roman" w:hAnsi="Times New Roman" w:cs="Times New Roman"/>
          <w:sz w:val="24"/>
          <w:szCs w:val="24"/>
          <w:lang w:val="en-GB"/>
        </w:rPr>
        <w:t xml:space="preserve">, but they can be relatively quickly reversed by a future, competition-oriented new regime.  As it stands today, 5 transactions </w:t>
      </w:r>
      <w:r w:rsidR="005A46AB">
        <w:rPr>
          <w:rFonts w:ascii="Times New Roman" w:hAnsi="Times New Roman" w:cs="Times New Roman"/>
          <w:sz w:val="24"/>
          <w:szCs w:val="24"/>
          <w:lang w:val="en-GB"/>
        </w:rPr>
        <w:t xml:space="preserve">represented </w:t>
      </w:r>
      <w:r w:rsidR="002766BE">
        <w:rPr>
          <w:rFonts w:ascii="Times New Roman" w:hAnsi="Times New Roman" w:cs="Times New Roman"/>
          <w:sz w:val="24"/>
          <w:szCs w:val="24"/>
          <w:lang w:val="en-GB"/>
        </w:rPr>
        <w:t>60 per cent of the renationalization deals</w:t>
      </w:r>
      <w:r w:rsidR="005A46AB">
        <w:rPr>
          <w:rFonts w:ascii="Times New Roman" w:hAnsi="Times New Roman" w:cs="Times New Roman"/>
          <w:sz w:val="24"/>
          <w:szCs w:val="24"/>
          <w:lang w:val="en-GB"/>
        </w:rPr>
        <w:t xml:space="preserve"> in value terms</w:t>
      </w:r>
      <w:r w:rsidR="002766BE">
        <w:rPr>
          <w:rFonts w:ascii="Times New Roman" w:hAnsi="Times New Roman" w:cs="Times New Roman"/>
          <w:sz w:val="24"/>
          <w:szCs w:val="24"/>
          <w:lang w:val="en-GB"/>
        </w:rPr>
        <w:t xml:space="preserve">.  This will not be difficult to undo.  But it would be more stressful, more time consuming and more resistance needs to be overcome in the process of building-down the institutions, laws and regulations which were introduced over the past 6 years and protected by cardinal laws, requiring 2/3 majority for change. </w:t>
      </w:r>
      <w:r>
        <w:rPr>
          <w:rFonts w:ascii="Times New Roman" w:hAnsi="Times New Roman" w:cs="Times New Roman"/>
          <w:sz w:val="24"/>
          <w:szCs w:val="24"/>
          <w:lang w:val="en-GB"/>
        </w:rPr>
        <w:t xml:space="preserve"> </w:t>
      </w:r>
    </w:p>
    <w:p w:rsidR="00BA19D9" w:rsidRPr="00CA1DF4" w:rsidRDefault="00CA1DF4" w:rsidP="00D619E0">
      <w:pPr>
        <w:spacing w:line="360" w:lineRule="auto"/>
        <w:jc w:val="both"/>
        <w:rPr>
          <w:rFonts w:ascii="Times New Roman" w:hAnsi="Times New Roman" w:cs="Times New Roman"/>
          <w:sz w:val="24"/>
          <w:szCs w:val="24"/>
          <w:lang w:val="en-GB"/>
        </w:rPr>
      </w:pPr>
      <w:r>
        <w:t xml:space="preserve">  </w:t>
      </w:r>
    </w:p>
    <w:p w:rsidR="00FE16E4" w:rsidRPr="00365E09" w:rsidRDefault="00FE16E4" w:rsidP="00D619E0">
      <w:pPr>
        <w:spacing w:line="360" w:lineRule="auto"/>
        <w:jc w:val="both"/>
        <w:rPr>
          <w:rFonts w:ascii="Times New Roman" w:hAnsi="Times New Roman" w:cs="Times New Roman"/>
          <w:sz w:val="24"/>
          <w:szCs w:val="24"/>
        </w:rPr>
      </w:pPr>
    </w:p>
    <w:p w:rsidR="00D54844" w:rsidRPr="001D2E23" w:rsidRDefault="00D54844" w:rsidP="00D54844">
      <w:pPr>
        <w:spacing w:line="360" w:lineRule="auto"/>
        <w:jc w:val="center"/>
        <w:rPr>
          <w:rFonts w:ascii="Times New Roman félkövér" w:hAnsi="Times New Roman félkövér" w:cstheme="minorHAnsi"/>
          <w:b/>
          <w:smallCaps/>
          <w:sz w:val="28"/>
          <w:szCs w:val="28"/>
          <w:lang w:val="en-US"/>
        </w:rPr>
      </w:pPr>
      <w:r w:rsidRPr="001D2E23">
        <w:rPr>
          <w:rFonts w:ascii="Times New Roman félkövér" w:hAnsi="Times New Roman félkövér" w:cstheme="minorHAnsi"/>
          <w:b/>
          <w:smallCaps/>
          <w:sz w:val="28"/>
          <w:szCs w:val="28"/>
          <w:lang w:val="en-US"/>
        </w:rPr>
        <w:t>References</w:t>
      </w:r>
    </w:p>
    <w:p w:rsidR="00D54844" w:rsidRPr="00365E09" w:rsidRDefault="00D54844" w:rsidP="00BA19D9">
      <w:pPr>
        <w:pStyle w:val="bookCharChar"/>
        <w:spacing w:after="120"/>
        <w:ind w:firstLine="0"/>
        <w:rPr>
          <w:szCs w:val="24"/>
          <w:lang w:val="en-US"/>
        </w:rPr>
      </w:pPr>
      <w:r w:rsidRPr="00365E09">
        <w:rPr>
          <w:szCs w:val="24"/>
          <w:lang w:val="en-US"/>
        </w:rPr>
        <w:t xml:space="preserve">Bod, Péter Ákos [2012]: </w:t>
      </w:r>
      <w:r w:rsidR="00BA19D9">
        <w:rPr>
          <w:szCs w:val="24"/>
          <w:lang w:val="en-US"/>
        </w:rPr>
        <w:t xml:space="preserve"> </w:t>
      </w:r>
      <w:r w:rsidRPr="00365E09">
        <w:rPr>
          <w:szCs w:val="24"/>
          <w:lang w:val="en-US"/>
        </w:rPr>
        <w:t xml:space="preserve">“Non-conventional Economic Policy Measures – Hungarian Style”, </w:t>
      </w:r>
      <w:r w:rsidRPr="00365E09">
        <w:rPr>
          <w:i/>
          <w:szCs w:val="24"/>
          <w:lang w:val="en-US"/>
        </w:rPr>
        <w:t>Hungarian Review</w:t>
      </w:r>
      <w:r w:rsidRPr="00365E09">
        <w:rPr>
          <w:szCs w:val="24"/>
          <w:lang w:val="en-US"/>
        </w:rPr>
        <w:t>, Vol. III. No. January, 16-23.</w:t>
      </w:r>
    </w:p>
    <w:p w:rsidR="00D54844" w:rsidRPr="00365E09" w:rsidRDefault="00D54844" w:rsidP="00BA19D9">
      <w:pPr>
        <w:pStyle w:val="bookCharChar"/>
        <w:spacing w:after="120"/>
        <w:ind w:firstLine="0"/>
        <w:rPr>
          <w:szCs w:val="24"/>
          <w:lang w:val="en-US"/>
        </w:rPr>
      </w:pPr>
      <w:r w:rsidRPr="00365E09">
        <w:rPr>
          <w:szCs w:val="24"/>
          <w:lang w:val="en-US"/>
        </w:rPr>
        <w:t xml:space="preserve">Brodsky, Clava [2015]: “Hungary’s Dangerous Constitution”, </w:t>
      </w:r>
      <w:r w:rsidRPr="009B6095">
        <w:rPr>
          <w:i/>
          <w:szCs w:val="24"/>
          <w:lang w:val="en-US"/>
        </w:rPr>
        <w:t>Columbia Journal of Transnational Law</w:t>
      </w:r>
      <w:r w:rsidRPr="00365E09">
        <w:rPr>
          <w:szCs w:val="24"/>
          <w:lang w:val="en-US"/>
        </w:rPr>
        <w:t xml:space="preserve">, </w:t>
      </w:r>
      <w:hyperlink r:id="rId20" w:history="1">
        <w:r w:rsidRPr="00365E09">
          <w:rPr>
            <w:rStyle w:val="Hyperlink"/>
            <w:szCs w:val="24"/>
            <w:lang w:val="en-US"/>
          </w:rPr>
          <w:t>http://jtl.columbia.edu/hungarys-dangerous-constitution/</w:t>
        </w:r>
      </w:hyperlink>
      <w:r w:rsidRPr="00365E09">
        <w:rPr>
          <w:szCs w:val="24"/>
          <w:lang w:val="en-US"/>
        </w:rPr>
        <w:t xml:space="preserve">  , downloaded on 21 April 2016.</w:t>
      </w:r>
    </w:p>
    <w:p w:rsidR="00A47434" w:rsidRDefault="00D54844" w:rsidP="00BA19D9">
      <w:pPr>
        <w:pStyle w:val="bookCharChar"/>
        <w:spacing w:after="120"/>
        <w:ind w:firstLine="0"/>
        <w:rPr>
          <w:szCs w:val="24"/>
          <w:lang w:val="en-US"/>
        </w:rPr>
      </w:pPr>
      <w:r w:rsidRPr="00365E09">
        <w:rPr>
          <w:szCs w:val="24"/>
          <w:lang w:val="en-US"/>
        </w:rPr>
        <w:t xml:space="preserve">Bugarič, Bojan [2014]: “Protecting Democracy and the Rule of Law in the European Union: The Hungarian Challenge”, </w:t>
      </w:r>
      <w:r w:rsidRPr="00365E09">
        <w:rPr>
          <w:i/>
          <w:szCs w:val="24"/>
          <w:lang w:val="en-US"/>
        </w:rPr>
        <w:t>LSE ‘Europe in Question’ Discussion Paper Series</w:t>
      </w:r>
      <w:r w:rsidRPr="00365E09">
        <w:rPr>
          <w:szCs w:val="24"/>
          <w:lang w:val="en-US"/>
        </w:rPr>
        <w:t xml:space="preserve"> No. 79. July. </w:t>
      </w:r>
      <w:r w:rsidRPr="00365E09">
        <w:rPr>
          <w:szCs w:val="24"/>
          <w:lang w:val="en-US"/>
        </w:rPr>
        <w:cr/>
      </w:r>
      <w:r w:rsidR="00A47434">
        <w:rPr>
          <w:szCs w:val="24"/>
          <w:lang w:val="en-US"/>
        </w:rPr>
        <w:t xml:space="preserve">Government of the Republic of Hungary [2011]:  </w:t>
      </w:r>
      <w:r w:rsidR="00A47434" w:rsidRPr="00A47434">
        <w:rPr>
          <w:szCs w:val="24"/>
          <w:lang w:val="en-US"/>
        </w:rPr>
        <w:t>N</w:t>
      </w:r>
      <w:r w:rsidR="00A47434">
        <w:rPr>
          <w:szCs w:val="24"/>
          <w:lang w:val="en-US"/>
        </w:rPr>
        <w:t xml:space="preserve">ational Reform Programme of Hungary, </w:t>
      </w:r>
      <w:r w:rsidR="00A47434" w:rsidRPr="00A47434">
        <w:rPr>
          <w:szCs w:val="24"/>
          <w:lang w:val="en-US"/>
        </w:rPr>
        <w:t>Based on the Széll Kálmán Plan</w:t>
      </w:r>
      <w:r w:rsidR="00A47434">
        <w:rPr>
          <w:szCs w:val="24"/>
          <w:lang w:val="en-US"/>
        </w:rPr>
        <w:t xml:space="preserve">, see </w:t>
      </w:r>
      <w:hyperlink r:id="rId21" w:history="1">
        <w:r w:rsidR="00A47434" w:rsidRPr="007F3D83">
          <w:rPr>
            <w:rStyle w:val="Hyperlink"/>
            <w:szCs w:val="24"/>
            <w:lang w:val="en-US"/>
          </w:rPr>
          <w:t>http://ec.europa.eu/europe2020/pdf/nrp/nrp_hungary_en.pdf</w:t>
        </w:r>
      </w:hyperlink>
      <w:r w:rsidR="00A47434">
        <w:rPr>
          <w:szCs w:val="24"/>
          <w:lang w:val="en-US"/>
        </w:rPr>
        <w:t xml:space="preserve"> </w:t>
      </w:r>
    </w:p>
    <w:p w:rsidR="00D54844" w:rsidRPr="00365E09" w:rsidRDefault="00D54844" w:rsidP="00BA19D9">
      <w:pPr>
        <w:pStyle w:val="bookCharChar"/>
        <w:spacing w:after="120"/>
        <w:ind w:firstLine="0"/>
        <w:rPr>
          <w:szCs w:val="24"/>
          <w:lang w:val="en-US"/>
        </w:rPr>
      </w:pPr>
      <w:r w:rsidRPr="00365E09">
        <w:rPr>
          <w:szCs w:val="24"/>
          <w:lang w:val="en-US"/>
        </w:rPr>
        <w:t xml:space="preserve">Fukuyama, Francis [2012]: “What’s Wrong with Hungary”, </w:t>
      </w:r>
      <w:r w:rsidRPr="009B6095">
        <w:rPr>
          <w:i/>
          <w:szCs w:val="24"/>
          <w:lang w:val="en-US"/>
        </w:rPr>
        <w:t>The American Interest</w:t>
      </w:r>
      <w:r w:rsidRPr="00365E09">
        <w:rPr>
          <w:szCs w:val="24"/>
          <w:lang w:val="en-US"/>
        </w:rPr>
        <w:t xml:space="preserve">, 6 February, </w:t>
      </w:r>
      <w:hyperlink r:id="rId22" w:history="1">
        <w:r w:rsidRPr="00365E09">
          <w:rPr>
            <w:rStyle w:val="Hyperlink"/>
            <w:szCs w:val="24"/>
            <w:lang w:val="en-US"/>
          </w:rPr>
          <w:t>http://www.the-american-interest.com/2012/02/06/whats-wrong-with-hungary/</w:t>
        </w:r>
      </w:hyperlink>
      <w:r w:rsidRPr="00365E09">
        <w:rPr>
          <w:szCs w:val="24"/>
          <w:lang w:val="en-US"/>
        </w:rPr>
        <w:t xml:space="preserve"> </w:t>
      </w:r>
    </w:p>
    <w:p w:rsidR="00862FEA" w:rsidRDefault="00862FEA" w:rsidP="00BA19D9">
      <w:pPr>
        <w:pStyle w:val="bookCharChar"/>
        <w:spacing w:after="120"/>
        <w:ind w:firstLine="0"/>
        <w:rPr>
          <w:szCs w:val="24"/>
          <w:lang w:val="en-US"/>
        </w:rPr>
      </w:pPr>
      <w:r>
        <w:rPr>
          <w:szCs w:val="24"/>
          <w:lang w:val="en-US"/>
        </w:rPr>
        <w:lastRenderedPageBreak/>
        <w:t xml:space="preserve">Keynes, John Maynard [1936, 1964]: </w:t>
      </w:r>
      <w:r w:rsidRPr="00862FEA">
        <w:rPr>
          <w:i/>
          <w:szCs w:val="24"/>
          <w:lang w:val="en-US"/>
        </w:rPr>
        <w:t>The General Theory of Employment, Interest and Money</w:t>
      </w:r>
      <w:r>
        <w:rPr>
          <w:szCs w:val="24"/>
          <w:lang w:val="en-US"/>
        </w:rPr>
        <w:t>, New York and London: Harcourt Brace Jovanovich.</w:t>
      </w:r>
    </w:p>
    <w:p w:rsidR="00D54844" w:rsidRPr="00365E09" w:rsidRDefault="00D54844" w:rsidP="00BA19D9">
      <w:pPr>
        <w:pStyle w:val="bookCharChar"/>
        <w:spacing w:after="120"/>
        <w:ind w:firstLine="0"/>
        <w:rPr>
          <w:szCs w:val="24"/>
          <w:lang w:val="en-US"/>
        </w:rPr>
      </w:pPr>
      <w:r w:rsidRPr="00365E09">
        <w:rPr>
          <w:szCs w:val="24"/>
          <w:lang w:val="en-US"/>
        </w:rPr>
        <w:t xml:space="preserve">Kornai, János [2011]: “Taking Stock”, </w:t>
      </w:r>
      <w:r w:rsidRPr="00365E09">
        <w:rPr>
          <w:i/>
          <w:szCs w:val="24"/>
          <w:lang w:val="en-US"/>
        </w:rPr>
        <w:t>Népszabadság</w:t>
      </w:r>
      <w:r w:rsidRPr="00365E09">
        <w:rPr>
          <w:szCs w:val="24"/>
          <w:lang w:val="en-US"/>
        </w:rPr>
        <w:t xml:space="preserve">, 6 January, in English see here: </w:t>
      </w:r>
      <w:hyperlink r:id="rId23" w:history="1">
        <w:r w:rsidRPr="00365E09">
          <w:rPr>
            <w:rStyle w:val="Hyperlink"/>
            <w:szCs w:val="24"/>
            <w:lang w:val="en-US"/>
          </w:rPr>
          <w:t>http://nol.hu/gazdasag/janos_kornai__taking_stock-938851</w:t>
        </w:r>
      </w:hyperlink>
      <w:r w:rsidRPr="00365E09">
        <w:rPr>
          <w:szCs w:val="24"/>
          <w:lang w:val="en-US"/>
        </w:rPr>
        <w:t xml:space="preserve"> </w:t>
      </w:r>
    </w:p>
    <w:p w:rsidR="00D54844" w:rsidRPr="00365E09" w:rsidRDefault="00D54844" w:rsidP="00BA19D9">
      <w:pPr>
        <w:spacing w:after="120"/>
        <w:ind w:hanging="11"/>
        <w:jc w:val="both"/>
        <w:rPr>
          <w:rFonts w:ascii="Times New Roman" w:hAnsi="Times New Roman" w:cs="Times New Roman"/>
          <w:sz w:val="24"/>
          <w:szCs w:val="24"/>
          <w:lang w:val="en-US"/>
        </w:rPr>
      </w:pPr>
      <w:r w:rsidRPr="00365E09">
        <w:rPr>
          <w:rFonts w:ascii="Times New Roman" w:hAnsi="Times New Roman" w:cs="Times New Roman"/>
          <w:sz w:val="24"/>
          <w:szCs w:val="24"/>
          <w:lang w:val="en-US"/>
        </w:rPr>
        <w:t xml:space="preserve">--- [2012]: “Centralization and the Capitalist Market Economy”, </w:t>
      </w:r>
      <w:r w:rsidRPr="00365E09">
        <w:rPr>
          <w:rFonts w:ascii="Times New Roman" w:hAnsi="Times New Roman" w:cs="Times New Roman"/>
          <w:i/>
          <w:sz w:val="24"/>
          <w:szCs w:val="24"/>
          <w:lang w:val="en-US"/>
        </w:rPr>
        <w:t>Népszabadság</w:t>
      </w:r>
      <w:r w:rsidRPr="00365E09">
        <w:rPr>
          <w:rFonts w:ascii="Times New Roman" w:hAnsi="Times New Roman" w:cs="Times New Roman"/>
          <w:sz w:val="24"/>
          <w:szCs w:val="24"/>
          <w:lang w:val="en-US"/>
        </w:rPr>
        <w:t xml:space="preserve">, 28 January, in English see here: </w:t>
      </w:r>
      <w:hyperlink r:id="rId24" w:history="1">
        <w:r w:rsidRPr="00365E09">
          <w:rPr>
            <w:rStyle w:val="Hyperlink"/>
            <w:rFonts w:ascii="Times New Roman" w:hAnsi="Times New Roman" w:cs="Times New Roman"/>
            <w:sz w:val="24"/>
            <w:szCs w:val="24"/>
            <w:lang w:val="en-US"/>
          </w:rPr>
          <w:t>http://nol.hu/belfold/centralization_and_the_capitalist_market_economy-1297262</w:t>
        </w:r>
      </w:hyperlink>
      <w:r w:rsidRPr="00365E09">
        <w:rPr>
          <w:rFonts w:ascii="Times New Roman" w:hAnsi="Times New Roman" w:cs="Times New Roman"/>
          <w:sz w:val="24"/>
          <w:szCs w:val="24"/>
          <w:lang w:val="en-US"/>
        </w:rPr>
        <w:t xml:space="preserve">  </w:t>
      </w:r>
    </w:p>
    <w:p w:rsidR="00D54844" w:rsidRPr="00BA19D9" w:rsidRDefault="00D54844" w:rsidP="00BA19D9">
      <w:pPr>
        <w:spacing w:after="120"/>
        <w:jc w:val="both"/>
        <w:rPr>
          <w:rFonts w:ascii="Times New Roman" w:hAnsi="Times New Roman" w:cs="Times New Roman"/>
          <w:sz w:val="24"/>
          <w:szCs w:val="24"/>
          <w:lang w:val="en-GB"/>
        </w:rPr>
      </w:pPr>
      <w:r w:rsidRPr="00BA19D9">
        <w:rPr>
          <w:rFonts w:ascii="Times New Roman" w:hAnsi="Times New Roman" w:cs="Times New Roman"/>
          <w:sz w:val="24"/>
          <w:szCs w:val="24"/>
          <w:lang w:val="en-GB"/>
        </w:rPr>
        <w:t xml:space="preserve">--- [2015]: “Hungary’s U-Turn”, </w:t>
      </w:r>
      <w:r w:rsidRPr="00BA19D9">
        <w:rPr>
          <w:rFonts w:ascii="Times New Roman" w:hAnsi="Times New Roman" w:cs="Times New Roman"/>
          <w:i/>
          <w:sz w:val="24"/>
          <w:szCs w:val="24"/>
          <w:lang w:val="en-GB"/>
        </w:rPr>
        <w:t>Capitalism and Society</w:t>
      </w:r>
      <w:r w:rsidRPr="00BA19D9">
        <w:rPr>
          <w:rFonts w:ascii="Times New Roman" w:hAnsi="Times New Roman" w:cs="Times New Roman"/>
          <w:sz w:val="24"/>
          <w:szCs w:val="24"/>
          <w:lang w:val="en-GB"/>
        </w:rPr>
        <w:t>, Vol. 10. Issue 2, Article 1.</w:t>
      </w:r>
    </w:p>
    <w:p w:rsidR="009E43E7" w:rsidRPr="00BA19D9" w:rsidRDefault="009E43E7" w:rsidP="00BA19D9">
      <w:pPr>
        <w:spacing w:after="120"/>
        <w:ind w:hanging="11"/>
        <w:jc w:val="both"/>
        <w:rPr>
          <w:rFonts w:ascii="Times New Roman" w:hAnsi="Times New Roman" w:cs="Times New Roman"/>
          <w:sz w:val="24"/>
          <w:szCs w:val="24"/>
          <w:lang w:val="en-GB"/>
        </w:rPr>
      </w:pPr>
      <w:r w:rsidRPr="00BA19D9">
        <w:rPr>
          <w:rFonts w:ascii="Times New Roman" w:hAnsi="Times New Roman" w:cs="Times New Roman"/>
          <w:sz w:val="24"/>
          <w:szCs w:val="24"/>
          <w:lang w:val="en-GB"/>
        </w:rPr>
        <w:t xml:space="preserve">Magyar, Bálint [2015]: </w:t>
      </w:r>
      <w:r w:rsidRPr="00BA19D9">
        <w:rPr>
          <w:rFonts w:ascii="Times New Roman" w:hAnsi="Times New Roman" w:cs="Times New Roman"/>
          <w:i/>
          <w:sz w:val="24"/>
          <w:szCs w:val="24"/>
          <w:lang w:val="en-GB"/>
        </w:rPr>
        <w:t>Post-Communist Mafia State – The Case of Hungary</w:t>
      </w:r>
      <w:r w:rsidRPr="00BA19D9">
        <w:rPr>
          <w:rFonts w:ascii="Times New Roman" w:hAnsi="Times New Roman" w:cs="Times New Roman"/>
          <w:sz w:val="24"/>
          <w:szCs w:val="24"/>
          <w:lang w:val="en-GB"/>
        </w:rPr>
        <w:t xml:space="preserve">, Bp.: CEU Press. </w:t>
      </w:r>
    </w:p>
    <w:p w:rsidR="005E69A1" w:rsidRPr="00C80CA9" w:rsidRDefault="005E69A1" w:rsidP="00BA19D9">
      <w:pPr>
        <w:spacing w:after="120"/>
        <w:ind w:hanging="11"/>
        <w:jc w:val="both"/>
        <w:rPr>
          <w:rFonts w:ascii="Times New Roman" w:hAnsi="Times New Roman" w:cs="Times New Roman"/>
          <w:sz w:val="24"/>
          <w:szCs w:val="24"/>
          <w:lang w:val="en-GB"/>
        </w:rPr>
      </w:pPr>
      <w:r w:rsidRPr="00C80CA9">
        <w:rPr>
          <w:rFonts w:ascii="Times New Roman" w:hAnsi="Times New Roman" w:cs="Times New Roman"/>
          <w:sz w:val="24"/>
          <w:szCs w:val="24"/>
          <w:lang w:val="en-GB"/>
        </w:rPr>
        <w:t xml:space="preserve">Matolcsy, György [2016]: </w:t>
      </w:r>
      <w:r w:rsidRPr="00C80CA9">
        <w:rPr>
          <w:rFonts w:ascii="Times New Roman" w:hAnsi="Times New Roman" w:cs="Times New Roman"/>
          <w:i/>
          <w:sz w:val="24"/>
          <w:szCs w:val="24"/>
          <w:lang w:val="en-GB"/>
        </w:rPr>
        <w:t>Economic Balance and Growth</w:t>
      </w:r>
      <w:r w:rsidRPr="00C80CA9">
        <w:rPr>
          <w:rFonts w:ascii="Times New Roman" w:hAnsi="Times New Roman" w:cs="Times New Roman"/>
          <w:sz w:val="24"/>
          <w:szCs w:val="24"/>
          <w:lang w:val="en-GB"/>
        </w:rPr>
        <w:t>, Bp.: Kairosz Könyvkiadó.</w:t>
      </w:r>
    </w:p>
    <w:p w:rsidR="00CB6563" w:rsidRPr="00CB6563" w:rsidRDefault="00D54844" w:rsidP="00BA19D9">
      <w:pPr>
        <w:spacing w:after="120"/>
        <w:ind w:hanging="11"/>
        <w:jc w:val="both"/>
        <w:rPr>
          <w:rFonts w:ascii="Times New Roman" w:hAnsi="Times New Roman" w:cs="Times New Roman"/>
          <w:sz w:val="24"/>
          <w:szCs w:val="24"/>
          <w:lang w:val="en-US"/>
        </w:rPr>
      </w:pPr>
      <w:r w:rsidRPr="00C80CA9">
        <w:rPr>
          <w:rFonts w:ascii="Times New Roman" w:hAnsi="Times New Roman" w:cs="Times New Roman"/>
          <w:sz w:val="24"/>
          <w:szCs w:val="24"/>
          <w:lang w:val="en-GB"/>
        </w:rPr>
        <w:t>Mih</w:t>
      </w:r>
      <w:r w:rsidR="00CB6563" w:rsidRPr="00C80CA9">
        <w:rPr>
          <w:rFonts w:ascii="Times New Roman" w:hAnsi="Times New Roman" w:cs="Times New Roman"/>
          <w:sz w:val="24"/>
          <w:szCs w:val="24"/>
          <w:lang w:val="en-GB"/>
        </w:rPr>
        <w:t>a</w:t>
      </w:r>
      <w:r w:rsidRPr="00C80CA9">
        <w:rPr>
          <w:rFonts w:ascii="Times New Roman" w:hAnsi="Times New Roman" w:cs="Times New Roman"/>
          <w:sz w:val="24"/>
          <w:szCs w:val="24"/>
          <w:lang w:val="en-GB"/>
        </w:rPr>
        <w:t xml:space="preserve">lyi, Peter </w:t>
      </w:r>
      <w:r w:rsidR="00CB6563" w:rsidRPr="00C80CA9">
        <w:rPr>
          <w:rFonts w:ascii="Times New Roman" w:hAnsi="Times New Roman" w:cs="Times New Roman"/>
          <w:sz w:val="24"/>
          <w:szCs w:val="24"/>
          <w:lang w:val="en-GB"/>
        </w:rPr>
        <w:t xml:space="preserve">[1993]: "Property Rights and Privatization: The Three-Agent Model [A Case Study on Hungary]", </w:t>
      </w:r>
      <w:r w:rsidR="00CB6563" w:rsidRPr="00C80CA9">
        <w:rPr>
          <w:rFonts w:ascii="Times New Roman" w:hAnsi="Times New Roman" w:cs="Times New Roman"/>
          <w:i/>
          <w:sz w:val="24"/>
          <w:szCs w:val="24"/>
          <w:lang w:val="en-GB"/>
        </w:rPr>
        <w:t>Eastern European Economics</w:t>
      </w:r>
      <w:r w:rsidR="00CB6563" w:rsidRPr="00C80CA9">
        <w:rPr>
          <w:rFonts w:ascii="Times New Roman" w:hAnsi="Times New Roman" w:cs="Times New Roman"/>
          <w:sz w:val="24"/>
          <w:szCs w:val="24"/>
          <w:lang w:val="en-GB"/>
        </w:rPr>
        <w:t>, Winter 1992-93, Vol. 31., No.2., 5-</w:t>
      </w:r>
      <w:r w:rsidR="00CB6563" w:rsidRPr="00CB6563">
        <w:rPr>
          <w:rFonts w:ascii="Times New Roman" w:hAnsi="Times New Roman" w:cs="Times New Roman"/>
          <w:sz w:val="24"/>
          <w:szCs w:val="24"/>
        </w:rPr>
        <w:t>64.</w:t>
      </w:r>
    </w:p>
    <w:p w:rsidR="00D54844" w:rsidRPr="00365E09" w:rsidRDefault="00CB6563" w:rsidP="00BA19D9">
      <w:pPr>
        <w:spacing w:after="120"/>
        <w:ind w:hanging="11"/>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54844" w:rsidRPr="00365E09">
        <w:rPr>
          <w:rFonts w:ascii="Times New Roman" w:hAnsi="Times New Roman" w:cs="Times New Roman"/>
          <w:sz w:val="24"/>
          <w:szCs w:val="24"/>
        </w:rPr>
        <w:t xml:space="preserve">[2010]: </w:t>
      </w:r>
      <w:r w:rsidR="00BF4B53">
        <w:rPr>
          <w:rFonts w:ascii="Times New Roman" w:hAnsi="Times New Roman" w:cs="Times New Roman"/>
          <w:sz w:val="24"/>
          <w:szCs w:val="24"/>
        </w:rPr>
        <w:t xml:space="preserve"> </w:t>
      </w:r>
      <w:r w:rsidR="00D54844" w:rsidRPr="00365E09">
        <w:rPr>
          <w:rFonts w:ascii="Times New Roman" w:hAnsi="Times New Roman" w:cs="Times New Roman"/>
          <w:i/>
          <w:sz w:val="24"/>
          <w:szCs w:val="24"/>
        </w:rPr>
        <w:t>A magyar privatizáció enciklopédiája, 1-2. kötet</w:t>
      </w:r>
      <w:r w:rsidR="00D54844" w:rsidRPr="00365E09">
        <w:rPr>
          <w:rFonts w:ascii="Times New Roman" w:hAnsi="Times New Roman" w:cs="Times New Roman"/>
          <w:sz w:val="24"/>
          <w:szCs w:val="24"/>
        </w:rPr>
        <w:t xml:space="preserve"> [Encyclopaedia of the Hungarian Privatization Vols. 1-2.], Pannon Egyetemi Kiadó – MTA Közgazdaságtudományi Intézet. </w:t>
      </w:r>
      <w:r w:rsidR="00D54844" w:rsidRPr="00365E09">
        <w:rPr>
          <w:rFonts w:ascii="Times New Roman" w:hAnsi="Times New Roman" w:cs="Times New Roman"/>
          <w:sz w:val="24"/>
          <w:szCs w:val="24"/>
          <w:lang w:val="en-US"/>
        </w:rPr>
        <w:t>In Hungarian only.</w:t>
      </w:r>
    </w:p>
    <w:p w:rsidR="00D54844" w:rsidRPr="00365E09" w:rsidRDefault="00D54844" w:rsidP="00BA19D9">
      <w:pPr>
        <w:tabs>
          <w:tab w:val="left" w:pos="-720"/>
        </w:tabs>
        <w:suppressAutoHyphens/>
        <w:spacing w:after="120"/>
        <w:jc w:val="both"/>
        <w:rPr>
          <w:rFonts w:ascii="Times New Roman" w:hAnsi="Times New Roman" w:cs="Times New Roman"/>
          <w:spacing w:val="-3"/>
          <w:sz w:val="24"/>
          <w:szCs w:val="24"/>
          <w:lang w:val="en-US"/>
        </w:rPr>
      </w:pPr>
      <w:r w:rsidRPr="00365E09">
        <w:rPr>
          <w:rFonts w:ascii="Times New Roman" w:hAnsi="Times New Roman" w:cs="Times New Roman"/>
          <w:spacing w:val="-3"/>
          <w:sz w:val="24"/>
          <w:szCs w:val="24"/>
          <w:lang w:val="en-US"/>
        </w:rPr>
        <w:t>--- [2014]: “</w:t>
      </w:r>
      <w:r w:rsidRPr="00365E09">
        <w:rPr>
          <w:rFonts w:ascii="Times New Roman" w:hAnsi="Times New Roman" w:cs="Times New Roman"/>
          <w:spacing w:val="-3"/>
          <w:sz w:val="24"/>
          <w:szCs w:val="24"/>
        </w:rPr>
        <w:t>Re-nationalization in post-communist Hungary, 2010 – 2013</w:t>
      </w:r>
      <w:r w:rsidRPr="00365E09">
        <w:rPr>
          <w:rFonts w:ascii="Times New Roman" w:hAnsi="Times New Roman" w:cs="Times New Roman"/>
          <w:spacing w:val="-3"/>
          <w:sz w:val="24"/>
          <w:szCs w:val="24"/>
          <w:lang w:val="en-US"/>
        </w:rPr>
        <w:t xml:space="preserve">”, in: </w:t>
      </w:r>
      <w:r w:rsidRPr="00365E09">
        <w:rPr>
          <w:rFonts w:ascii="Times New Roman" w:hAnsi="Times New Roman" w:cs="Times New Roman"/>
          <w:i/>
          <w:spacing w:val="-3"/>
          <w:sz w:val="24"/>
          <w:szCs w:val="24"/>
          <w:lang w:val="en-US"/>
        </w:rPr>
        <w:t>The Privatization Barometer Report 2013/2014,</w:t>
      </w:r>
      <w:r w:rsidRPr="00365E09">
        <w:rPr>
          <w:rFonts w:ascii="Times New Roman" w:hAnsi="Times New Roman" w:cs="Times New Roman"/>
          <w:spacing w:val="-3"/>
          <w:sz w:val="24"/>
          <w:szCs w:val="24"/>
          <w:lang w:val="en-US"/>
        </w:rPr>
        <w:t xml:space="preserve"> FONDAZIONE ENI ENRICO MATTEI – KPMG, 46-50. </w:t>
      </w:r>
      <w:hyperlink r:id="rId25" w:history="1">
        <w:r w:rsidRPr="00365E09">
          <w:rPr>
            <w:rStyle w:val="Hyperlink"/>
            <w:rFonts w:ascii="Times New Roman" w:hAnsi="Times New Roman" w:cs="Times New Roman"/>
            <w:spacing w:val="-3"/>
            <w:sz w:val="24"/>
            <w:szCs w:val="24"/>
          </w:rPr>
          <w:t>http://www.privatizationbarometer.net/PUB/NL/5/3/PB_AR2013-2014.pdf</w:t>
        </w:r>
      </w:hyperlink>
    </w:p>
    <w:p w:rsidR="00D54844" w:rsidRPr="00365E09" w:rsidRDefault="00D54844" w:rsidP="00BA19D9">
      <w:pPr>
        <w:spacing w:after="120"/>
        <w:jc w:val="both"/>
        <w:rPr>
          <w:rFonts w:ascii="Times New Roman" w:hAnsi="Times New Roman" w:cs="Times New Roman"/>
          <w:sz w:val="24"/>
          <w:szCs w:val="24"/>
        </w:rPr>
      </w:pPr>
      <w:r w:rsidRPr="00365E09">
        <w:rPr>
          <w:rFonts w:ascii="Times New Roman" w:hAnsi="Times New Roman" w:cs="Times New Roman"/>
          <w:sz w:val="24"/>
          <w:szCs w:val="24"/>
          <w:lang w:val="en-US"/>
        </w:rPr>
        <w:t xml:space="preserve">Müller, Jan-Werner [2014]: “Moscow's Trojan Horse. In Europe's Ideological War, Hungary Picks Putinism”, </w:t>
      </w:r>
      <w:r w:rsidRPr="00365E09">
        <w:rPr>
          <w:rFonts w:ascii="Times New Roman" w:hAnsi="Times New Roman" w:cs="Times New Roman"/>
          <w:i/>
          <w:sz w:val="24"/>
          <w:szCs w:val="24"/>
          <w:lang w:val="en-US"/>
        </w:rPr>
        <w:t>Foreign Affairs</w:t>
      </w:r>
      <w:r w:rsidRPr="00365E09">
        <w:rPr>
          <w:rFonts w:ascii="Times New Roman" w:hAnsi="Times New Roman" w:cs="Times New Roman"/>
          <w:sz w:val="24"/>
          <w:szCs w:val="24"/>
          <w:lang w:val="en-US"/>
        </w:rPr>
        <w:t xml:space="preserve">, 6 August. </w:t>
      </w:r>
      <w:hyperlink r:id="rId26" w:history="1">
        <w:r w:rsidRPr="00365E09">
          <w:rPr>
            <w:rStyle w:val="Hyperlink"/>
            <w:rFonts w:ascii="Times New Roman" w:hAnsi="Times New Roman" w:cs="Times New Roman"/>
            <w:sz w:val="24"/>
            <w:szCs w:val="24"/>
          </w:rPr>
          <w:t>http://www.foreignaffairs.com/articles/141825/jan-werner-mueller/moscows-trojan-horse</w:t>
        </w:r>
      </w:hyperlink>
      <w:r w:rsidRPr="00365E09">
        <w:rPr>
          <w:rFonts w:ascii="Times New Roman" w:hAnsi="Times New Roman" w:cs="Times New Roman"/>
          <w:sz w:val="24"/>
          <w:szCs w:val="24"/>
        </w:rPr>
        <w:t xml:space="preserve"> </w:t>
      </w:r>
    </w:p>
    <w:p w:rsidR="000347C9" w:rsidRPr="005A726E" w:rsidRDefault="000347C9" w:rsidP="000347C9">
      <w:pPr>
        <w:pStyle w:val="bookCharChar"/>
        <w:spacing w:after="120"/>
        <w:ind w:firstLine="0"/>
        <w:rPr>
          <w:iCs/>
          <w:szCs w:val="24"/>
          <w:lang w:val="en-GB"/>
        </w:rPr>
      </w:pPr>
      <w:r w:rsidRPr="005A726E">
        <w:rPr>
          <w:iCs/>
          <w:szCs w:val="24"/>
          <w:lang w:val="en-GB"/>
        </w:rPr>
        <w:t xml:space="preserve">Rochlitz, Michael [2014]: „Corporate raiding and the role of the state in Russia”, </w:t>
      </w:r>
      <w:r w:rsidRPr="005A726E">
        <w:rPr>
          <w:iCs/>
          <w:szCs w:val="24"/>
          <w:u w:val="single"/>
          <w:lang w:val="en-GB"/>
        </w:rPr>
        <w:t>Soviet Studies</w:t>
      </w:r>
      <w:r w:rsidRPr="005A726E">
        <w:rPr>
          <w:iCs/>
          <w:szCs w:val="24"/>
          <w:lang w:val="en-GB"/>
        </w:rPr>
        <w:t>, Vol. 30. No. 2-3, 89-114.</w:t>
      </w:r>
    </w:p>
    <w:p w:rsidR="00D54844" w:rsidRPr="005A726E" w:rsidRDefault="00D54844" w:rsidP="00BA19D9">
      <w:pPr>
        <w:pStyle w:val="book"/>
        <w:spacing w:after="120"/>
        <w:ind w:firstLine="0"/>
        <w:rPr>
          <w:szCs w:val="24"/>
          <w:lang w:val="en-GB"/>
        </w:rPr>
      </w:pPr>
      <w:r w:rsidRPr="005A726E">
        <w:rPr>
          <w:szCs w:val="24"/>
          <w:lang w:val="en-GB"/>
        </w:rPr>
        <w:t xml:space="preserve">Scheppele, Kim Lane (2012): “The Unconstitutional Constitution,” posted to Paul Krugman’s blog The Conscience of a Liberal for The New York Times, accessed October 31, 2014, </w:t>
      </w:r>
      <w:hyperlink r:id="rId27" w:anchor="more-27941" w:history="1">
        <w:r w:rsidRPr="005A726E">
          <w:rPr>
            <w:rStyle w:val="Hyperlink"/>
            <w:szCs w:val="24"/>
            <w:lang w:val="en-GB"/>
          </w:rPr>
          <w:t>http://krugman.blogs.nytimes.com/2012/01/02/the-unconstitutionalconstitution/#more-27941</w:t>
        </w:r>
      </w:hyperlink>
      <w:r w:rsidRPr="005A726E">
        <w:rPr>
          <w:szCs w:val="24"/>
          <w:lang w:val="en-GB"/>
        </w:rPr>
        <w:t xml:space="preserve">.  </w:t>
      </w:r>
    </w:p>
    <w:p w:rsidR="00D54844" w:rsidRPr="005A726E" w:rsidRDefault="00D54844" w:rsidP="00BA19D9">
      <w:pPr>
        <w:pStyle w:val="book"/>
        <w:spacing w:after="120"/>
        <w:ind w:firstLine="0"/>
        <w:rPr>
          <w:szCs w:val="24"/>
          <w:lang w:val="en-GB"/>
        </w:rPr>
      </w:pPr>
      <w:r w:rsidRPr="005A726E">
        <w:rPr>
          <w:szCs w:val="24"/>
          <w:lang w:val="en-GB"/>
        </w:rPr>
        <w:t xml:space="preserve">Scheppele, Kim Lane (2013): “Hungary, The Public Relations Offensive,” posted to Paul Krugman’s blog The Conscience of a Liberal for The New York Times, accessed October 31, 2014, </w:t>
      </w:r>
      <w:hyperlink r:id="rId28" w:anchor="more-34278" w:history="1">
        <w:r w:rsidRPr="005A726E">
          <w:rPr>
            <w:rStyle w:val="Hyperlink"/>
            <w:szCs w:val="24"/>
            <w:lang w:val="en-GB"/>
          </w:rPr>
          <w:t>http://krugman.blogs.nytimes.com/2013/04/08/guest-posthungary-the-public-relations-offensive/?_r=0#more-34278</w:t>
        </w:r>
      </w:hyperlink>
      <w:r w:rsidRPr="005A726E">
        <w:rPr>
          <w:szCs w:val="24"/>
          <w:lang w:val="en-GB"/>
        </w:rPr>
        <w:t>.</w:t>
      </w:r>
    </w:p>
    <w:p w:rsidR="00B03155" w:rsidRPr="005A726E" w:rsidRDefault="00B03155" w:rsidP="00BA19D9">
      <w:pPr>
        <w:pStyle w:val="book"/>
        <w:spacing w:after="120"/>
        <w:ind w:firstLine="0"/>
        <w:rPr>
          <w:szCs w:val="24"/>
          <w:lang w:val="en-GB"/>
        </w:rPr>
      </w:pPr>
      <w:r w:rsidRPr="005A726E">
        <w:rPr>
          <w:i/>
          <w:lang w:val="en-GB"/>
        </w:rPr>
        <w:t>The Programme of National Cooperation</w:t>
      </w:r>
      <w:r w:rsidRPr="005A726E">
        <w:rPr>
          <w:lang w:val="en-GB"/>
        </w:rPr>
        <w:t xml:space="preserve"> (2010) Office of the National Assembly Document Number: H/47, May.  </w:t>
      </w:r>
      <w:hyperlink r:id="rId29" w:history="1">
        <w:r w:rsidRPr="005A726E">
          <w:rPr>
            <w:rStyle w:val="Hyperlink"/>
            <w:lang w:val="en-GB"/>
          </w:rPr>
          <w:t>http://www.parlament.hu/irom39/00047/00047_e.pdf</w:t>
        </w:r>
      </w:hyperlink>
      <w:r w:rsidRPr="005A726E">
        <w:rPr>
          <w:lang w:val="en-GB"/>
        </w:rPr>
        <w:t xml:space="preserve">   </w:t>
      </w:r>
    </w:p>
    <w:p w:rsidR="00D54844" w:rsidRPr="00365E09" w:rsidRDefault="00D54844" w:rsidP="00BA19D9">
      <w:pPr>
        <w:spacing w:after="120"/>
        <w:jc w:val="both"/>
        <w:rPr>
          <w:rFonts w:ascii="Times New Roman" w:hAnsi="Times New Roman" w:cs="Times New Roman"/>
          <w:sz w:val="24"/>
          <w:szCs w:val="24"/>
        </w:rPr>
      </w:pPr>
    </w:p>
    <w:sectPr w:rsidR="00D54844" w:rsidRPr="00365E09" w:rsidSect="003D3A46">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F2" w:rsidRDefault="00C555F2" w:rsidP="002114A2">
      <w:pPr>
        <w:spacing w:after="0" w:line="240" w:lineRule="auto"/>
      </w:pPr>
      <w:r>
        <w:separator/>
      </w:r>
    </w:p>
  </w:endnote>
  <w:endnote w:type="continuationSeparator" w:id="0">
    <w:p w:rsidR="00C555F2" w:rsidRDefault="00C555F2" w:rsidP="0021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félkövé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D9" w:rsidRDefault="00BA1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893838"/>
      <w:docPartObj>
        <w:docPartGallery w:val="Page Numbers (Bottom of Page)"/>
        <w:docPartUnique/>
      </w:docPartObj>
    </w:sdtPr>
    <w:sdtEndPr/>
    <w:sdtContent>
      <w:p w:rsidR="00BA19D9" w:rsidRDefault="003D3A46">
        <w:pPr>
          <w:pStyle w:val="Footer"/>
          <w:jc w:val="right"/>
        </w:pPr>
        <w:r>
          <w:fldChar w:fldCharType="begin"/>
        </w:r>
        <w:r w:rsidR="00BA19D9">
          <w:instrText>PAGE   \* MERGEFORMAT</w:instrText>
        </w:r>
        <w:r>
          <w:fldChar w:fldCharType="separate"/>
        </w:r>
        <w:r w:rsidR="007C2FD2">
          <w:rPr>
            <w:noProof/>
          </w:rPr>
          <w:t>1</w:t>
        </w:r>
        <w:r>
          <w:fldChar w:fldCharType="end"/>
        </w:r>
      </w:p>
    </w:sdtContent>
  </w:sdt>
  <w:p w:rsidR="00BA19D9" w:rsidRDefault="00BA19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D9" w:rsidRDefault="00BA1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F2" w:rsidRDefault="00C555F2" w:rsidP="002114A2">
      <w:pPr>
        <w:spacing w:after="0" w:line="240" w:lineRule="auto"/>
      </w:pPr>
      <w:r>
        <w:separator/>
      </w:r>
    </w:p>
  </w:footnote>
  <w:footnote w:type="continuationSeparator" w:id="0">
    <w:p w:rsidR="00C555F2" w:rsidRDefault="00C555F2" w:rsidP="002114A2">
      <w:pPr>
        <w:spacing w:after="0" w:line="240" w:lineRule="auto"/>
      </w:pPr>
      <w:r>
        <w:continuationSeparator/>
      </w:r>
    </w:p>
  </w:footnote>
  <w:footnote w:id="1">
    <w:p w:rsidR="00BA19D9" w:rsidRPr="007D07E7" w:rsidRDefault="00BA19D9" w:rsidP="002114A2">
      <w:pPr>
        <w:pStyle w:val="FootnoteText"/>
        <w:spacing w:after="120"/>
        <w:jc w:val="both"/>
        <w:rPr>
          <w:lang w:val="hu-HU"/>
        </w:rPr>
      </w:pPr>
      <w:r>
        <w:rPr>
          <w:rStyle w:val="FootnoteReference"/>
        </w:rPr>
        <w:footnoteRef/>
      </w:r>
      <w:r>
        <w:t xml:space="preserve"> </w:t>
      </w:r>
      <w:r w:rsidR="0020565C" w:rsidRPr="0020565C">
        <w:t>Peter Mihalyi</w:t>
      </w:r>
      <w:r w:rsidRPr="00CF7927">
        <w:t xml:space="preserve">, Department of </w:t>
      </w:r>
      <w:r>
        <w:t xml:space="preserve">Macroeconomics, Corvinus University of Budapest, </w:t>
      </w:r>
      <w:r w:rsidRPr="00CF7927">
        <w:t xml:space="preserve">Visiting Professor of the Central European University (Budapest) and Editor-in-Chief of </w:t>
      </w:r>
      <w:r w:rsidRPr="00AD2843">
        <w:rPr>
          <w:i/>
        </w:rPr>
        <w:t>Acta Oeconomica</w:t>
      </w:r>
      <w:r w:rsidRPr="00CF7927">
        <w:t xml:space="preserve">.  E-mail: </w:t>
      </w:r>
      <w:hyperlink r:id="rId1" w:history="1">
        <w:r w:rsidRPr="00CF7927">
          <w:rPr>
            <w:rStyle w:val="Hyperlink"/>
          </w:rPr>
          <w:t>peter@mihalyi.com</w:t>
        </w:r>
      </w:hyperlink>
      <w:r>
        <w:t xml:space="preserve">. </w:t>
      </w:r>
    </w:p>
  </w:footnote>
  <w:footnote w:id="2">
    <w:p w:rsidR="0020565C" w:rsidRPr="0020565C" w:rsidRDefault="0020565C">
      <w:pPr>
        <w:pStyle w:val="FootnoteText"/>
        <w:rPr>
          <w:lang w:val="en-US"/>
        </w:rPr>
      </w:pPr>
      <w:r>
        <w:rPr>
          <w:rStyle w:val="FootnoteReference"/>
        </w:rPr>
        <w:footnoteRef/>
      </w:r>
      <w:r>
        <w:t xml:space="preserve"> </w:t>
      </w:r>
      <w:r w:rsidRPr="00B82F43">
        <w:rPr>
          <w:lang w:val="en-US"/>
        </w:rPr>
        <w:t>Paper was prepared under the common Polish-Hungarian Project „Development pattern of CE</w:t>
      </w:r>
      <w:r w:rsidR="007C2FD2">
        <w:rPr>
          <w:lang w:val="en-US"/>
        </w:rPr>
        <w:t>E</w:t>
      </w:r>
      <w:bookmarkStart w:id="0" w:name="_GoBack"/>
      <w:bookmarkEnd w:id="0"/>
      <w:r w:rsidRPr="00B82F43">
        <w:rPr>
          <w:lang w:val="en-US"/>
        </w:rPr>
        <w:t xml:space="preserve"> countries after 2007-2009 crisis, on the example of Poland and Hungary” in the framework of an academic cooperation contract between the Polish Academy of Sciences and the Hungarian Academy of Sciences in 2014-2016. The Polish language version of this paper has been delivered to the editors of Studia Ekonomiczne for publication.</w:t>
      </w:r>
    </w:p>
  </w:footnote>
  <w:footnote w:id="3">
    <w:p w:rsidR="00BA19D9" w:rsidRPr="00C573C0" w:rsidRDefault="00BA19D9" w:rsidP="002114A2">
      <w:pPr>
        <w:pStyle w:val="FootnoteText"/>
        <w:rPr>
          <w:lang w:val="hu-HU"/>
        </w:rPr>
      </w:pPr>
      <w:r>
        <w:rPr>
          <w:rStyle w:val="FootnoteReference"/>
        </w:rPr>
        <w:footnoteRef/>
      </w:r>
      <w:r>
        <w:t xml:space="preserve"> </w:t>
      </w:r>
      <w:r w:rsidRPr="00C573C0">
        <w:t>For a detailed</w:t>
      </w:r>
      <w:r w:rsidR="00CD6E0C">
        <w:t xml:space="preserve"> </w:t>
      </w:r>
      <w:r w:rsidRPr="00C573C0">
        <w:t>overview, see Mihalyi (2010</w:t>
      </w:r>
      <w:r w:rsidR="00CD6E0C">
        <w:t>, 2015</w:t>
      </w:r>
      <w:r w:rsidRPr="00C573C0">
        <w:t>).</w:t>
      </w:r>
    </w:p>
  </w:footnote>
  <w:footnote w:id="4">
    <w:p w:rsidR="00F50FB8" w:rsidRPr="00F50FB8" w:rsidRDefault="00F50FB8" w:rsidP="00CD6E0C">
      <w:pPr>
        <w:pStyle w:val="FootnoteText"/>
        <w:spacing w:after="120"/>
        <w:jc w:val="both"/>
      </w:pPr>
      <w:r>
        <w:rPr>
          <w:rStyle w:val="FootnoteReference"/>
        </w:rPr>
        <w:footnoteRef/>
      </w:r>
      <w:r>
        <w:t xml:space="preserve"> The party’s full name is: </w:t>
      </w:r>
      <w:r w:rsidRPr="00F50FB8">
        <w:t>Fidesz – Hungarian Civic Alliance</w:t>
      </w:r>
      <w:r>
        <w:t xml:space="preserve">.  When the party was founded in 1989 </w:t>
      </w:r>
      <w:r w:rsidRPr="00F50FB8">
        <w:t xml:space="preserve">as a youthful libertarian, anti-communist </w:t>
      </w:r>
      <w:r>
        <w:t xml:space="preserve">movement, the word Fidesz was the abbreviation of the words </w:t>
      </w:r>
      <w:r w:rsidRPr="00F50FB8">
        <w:t>Alliance of Young Democrats</w:t>
      </w:r>
      <w:r>
        <w:t xml:space="preserve"> (in Hungarian).  </w:t>
      </w:r>
    </w:p>
  </w:footnote>
  <w:footnote w:id="5">
    <w:p w:rsidR="00CD6E0C" w:rsidRPr="00CD6E0C" w:rsidRDefault="00CD6E0C" w:rsidP="00CD6E0C">
      <w:pPr>
        <w:pStyle w:val="FootnoteText"/>
        <w:spacing w:after="120"/>
      </w:pPr>
      <w:r>
        <w:rPr>
          <w:rStyle w:val="FootnoteReference"/>
        </w:rPr>
        <w:footnoteRef/>
      </w:r>
      <w:r>
        <w:t xml:space="preserve"> For independent assessment of these changes see, Fukuyama (2012), Scheppele (2012</w:t>
      </w:r>
      <w:r w:rsidR="00265113">
        <w:t>, 2013</w:t>
      </w:r>
      <w:r>
        <w:t>), Müller (2014), Bugaric (2014) and Brodsky (2015)</w:t>
      </w:r>
      <w:r w:rsidR="00265113">
        <w:t>.</w:t>
      </w:r>
    </w:p>
  </w:footnote>
  <w:footnote w:id="6">
    <w:p w:rsidR="00011525" w:rsidRPr="00011525" w:rsidRDefault="00011525">
      <w:pPr>
        <w:pStyle w:val="FootnoteText"/>
      </w:pPr>
      <w:r>
        <w:rPr>
          <w:rStyle w:val="FootnoteReference"/>
        </w:rPr>
        <w:footnoteRef/>
      </w:r>
      <w:r>
        <w:t xml:space="preserve"> See Article A.  The official English version of the current Hungarian constitution can be downloaded from here: </w:t>
      </w:r>
      <w:hyperlink r:id="rId2" w:history="1">
        <w:r w:rsidRPr="00F22DDE">
          <w:rPr>
            <w:rStyle w:val="Hyperlink"/>
          </w:rPr>
          <w:t>http://www.kormany.hu/download/e/02/00000/The%20New%20Fundamental%20Law%20of%20Hungary.pdf</w:t>
        </w:r>
      </w:hyperlink>
    </w:p>
  </w:footnote>
  <w:footnote w:id="7">
    <w:p w:rsidR="00BA19D9" w:rsidRPr="00E3351A" w:rsidRDefault="00BA19D9" w:rsidP="00101237">
      <w:pPr>
        <w:pStyle w:val="FootnoteText"/>
        <w:spacing w:after="120"/>
        <w:jc w:val="both"/>
      </w:pPr>
      <w:r>
        <w:rPr>
          <w:rStyle w:val="FootnoteReference"/>
        </w:rPr>
        <w:footnoteRef/>
      </w:r>
      <w:r>
        <w:t xml:space="preserve"> </w:t>
      </w:r>
      <w:r w:rsidRPr="00E3351A">
        <w:t xml:space="preserve">Until 2015, the Fidesz government enjoyed the privilege of having a 2/3 majority in Parliament, but then this was lost in subsequent by-elections.  Since then </w:t>
      </w:r>
      <w:r>
        <w:t xml:space="preserve">the ruling party needs to get the support of some MPs from opposition parties to achieve super majority.  So far this has worked many times.  In five years, even the new constitution was modified not less than six times! </w:t>
      </w:r>
    </w:p>
  </w:footnote>
  <w:footnote w:id="8">
    <w:p w:rsidR="00B03155" w:rsidRPr="00B03155" w:rsidRDefault="00B03155">
      <w:pPr>
        <w:pStyle w:val="FootnoteText"/>
        <w:rPr>
          <w:lang w:val="hu-HU"/>
        </w:rPr>
      </w:pPr>
      <w:r>
        <w:rPr>
          <w:rStyle w:val="FootnoteReference"/>
        </w:rPr>
        <w:footnoteRef/>
      </w:r>
      <w:r>
        <w:t xml:space="preserve"> </w:t>
      </w:r>
      <w:r>
        <w:rPr>
          <w:lang w:val="hu-HU"/>
        </w:rPr>
        <w:t xml:space="preserve">See </w:t>
      </w:r>
      <w:r w:rsidRPr="00B03155">
        <w:rPr>
          <w:i/>
        </w:rPr>
        <w:t>The Programme of National Cooperation</w:t>
      </w:r>
      <w:r>
        <w:t xml:space="preserve"> (2010) p. 38.</w:t>
      </w:r>
    </w:p>
  </w:footnote>
  <w:footnote w:id="9">
    <w:p w:rsidR="00BA19D9" w:rsidRPr="007579DB" w:rsidRDefault="00BA19D9" w:rsidP="00D54844">
      <w:pPr>
        <w:pStyle w:val="FootnoteText"/>
        <w:spacing w:after="120"/>
      </w:pPr>
      <w:r>
        <w:rPr>
          <w:rStyle w:val="FootnoteReference"/>
        </w:rPr>
        <w:footnoteRef/>
      </w:r>
      <w:r>
        <w:t xml:space="preserve"> Bugari</w:t>
      </w:r>
      <w:r>
        <w:rPr>
          <w:rFonts w:cs="Times New Roman"/>
        </w:rPr>
        <w:t>č</w:t>
      </w:r>
      <w:r>
        <w:t xml:space="preserve"> (2014).</w:t>
      </w:r>
    </w:p>
  </w:footnote>
  <w:footnote w:id="10">
    <w:p w:rsidR="00F03707" w:rsidRPr="00F03707" w:rsidRDefault="00F03707">
      <w:pPr>
        <w:pStyle w:val="FootnoteText"/>
      </w:pPr>
      <w:r>
        <w:rPr>
          <w:rStyle w:val="FootnoteReference"/>
        </w:rPr>
        <w:footnoteRef/>
      </w:r>
      <w:r>
        <w:t xml:space="preserve"> For an earlier assessment on the same topic, see Mihalyi (2014).</w:t>
      </w:r>
    </w:p>
  </w:footnote>
  <w:footnote w:id="11">
    <w:p w:rsidR="00716E22" w:rsidRPr="00F631A7" w:rsidRDefault="00716E22" w:rsidP="00716E22">
      <w:pPr>
        <w:pStyle w:val="FootnoteText"/>
        <w:spacing w:after="120"/>
        <w:jc w:val="both"/>
      </w:pPr>
      <w:r>
        <w:rPr>
          <w:rStyle w:val="FootnoteReference"/>
        </w:rPr>
        <w:footnoteRef/>
      </w:r>
      <w:r>
        <w:t xml:space="preserve"> </w:t>
      </w:r>
      <w:r>
        <w:rPr>
          <w:lang w:val="en-US"/>
        </w:rPr>
        <w:t xml:space="preserve">Mr. Orbán has been the – </w:t>
      </w:r>
      <w:r w:rsidRPr="00F631A7">
        <w:rPr>
          <w:i/>
          <w:lang w:val="en-US"/>
        </w:rPr>
        <w:t>de facto</w:t>
      </w:r>
      <w:r>
        <w:rPr>
          <w:lang w:val="en-US"/>
        </w:rPr>
        <w:t xml:space="preserve"> – head of the Fidesz party since its foundation in 1988.  He doesn’t have to fear from the Hungarian business elite either, because just like President Putin in Russia, he managed to subjugate all the really wealthy entrepreneurs without exception.  None of them dares to support financially the opposition parties or their activists.  Initially, Fidesz had been a committed liberal movement, but after 1998 Orbán converted the party to a central-right movement.  In the European Parliament Fidesz is currently a member of the European People’s Party.</w:t>
      </w:r>
    </w:p>
  </w:footnote>
  <w:footnote w:id="12">
    <w:p w:rsidR="00BA19D9" w:rsidRPr="00DB711F" w:rsidRDefault="00BA19D9" w:rsidP="00011525">
      <w:pPr>
        <w:pStyle w:val="FootnoteText"/>
        <w:spacing w:after="120"/>
        <w:jc w:val="both"/>
      </w:pPr>
      <w:r>
        <w:rPr>
          <w:rStyle w:val="FootnoteReference"/>
        </w:rPr>
        <w:footnoteRef/>
      </w:r>
      <w:r>
        <w:t xml:space="preserve"> MOL is, by far, the largest Hungarian corporation with a significant international presence.  In 2015, its size was 56% of its Polish counter-part, PGNiG, measured on the basis of market capitalization.  As of mid-2010, the state had no shares at all in this corporation.</w:t>
      </w:r>
    </w:p>
  </w:footnote>
  <w:footnote w:id="13">
    <w:p w:rsidR="00BA19D9" w:rsidRPr="009C18A2" w:rsidRDefault="00BA19D9" w:rsidP="00D619E0">
      <w:pPr>
        <w:pStyle w:val="FootnoteText"/>
        <w:spacing w:after="120"/>
        <w:jc w:val="both"/>
        <w:rPr>
          <w:lang w:val="hu-HU"/>
        </w:rPr>
      </w:pPr>
      <w:r>
        <w:t xml:space="preserve"> </w:t>
      </w:r>
      <w:r>
        <w:rPr>
          <w:rStyle w:val="FootnoteReference"/>
        </w:rPr>
        <w:footnoteRef/>
      </w:r>
      <w:r>
        <w:t xml:space="preserve"> See the full list of Hungary’s 58 BITs here:  </w:t>
      </w:r>
      <w:hyperlink r:id="rId3" w:anchor="iiaInnerMenu" w:history="1">
        <w:r w:rsidRPr="003F5D73">
          <w:rPr>
            <w:rStyle w:val="Hyperlink"/>
          </w:rPr>
          <w:t>http://investmentpolicyhub.unctad.org/IIA/CountryBits/94#iiaInnerMenu</w:t>
        </w:r>
      </w:hyperlink>
      <w:r>
        <w:t xml:space="preserve"> </w:t>
      </w:r>
    </w:p>
  </w:footnote>
  <w:footnote w:id="14">
    <w:p w:rsidR="00BA19D9" w:rsidRPr="004D5738" w:rsidRDefault="00BA19D9" w:rsidP="00D619E0">
      <w:pPr>
        <w:pStyle w:val="FootnoteText"/>
        <w:spacing w:after="120"/>
        <w:jc w:val="both"/>
        <w:rPr>
          <w:lang w:val="hu-HU"/>
        </w:rPr>
      </w:pPr>
      <w:r>
        <w:rPr>
          <w:rStyle w:val="FootnoteReference"/>
        </w:rPr>
        <w:footnoteRef/>
      </w:r>
      <w:r w:rsidRPr="00542938">
        <w:t xml:space="preserve"> In many countries, the reference to the state’s eminent domain power is simply called </w:t>
      </w:r>
      <w:r>
        <w:t>“</w:t>
      </w:r>
      <w:r w:rsidRPr="00542938">
        <w:t>public interest”</w:t>
      </w:r>
      <w:r>
        <w:rPr>
          <w:lang w:val="hu-HU"/>
        </w:rPr>
        <w:t>.</w:t>
      </w:r>
    </w:p>
  </w:footnote>
  <w:footnote w:id="15">
    <w:p w:rsidR="00BA19D9" w:rsidRPr="007C7CE0" w:rsidRDefault="00BA19D9" w:rsidP="00D619E0">
      <w:pPr>
        <w:pStyle w:val="EndnoteText"/>
      </w:pPr>
      <w:r>
        <w:rPr>
          <w:rStyle w:val="FootnoteReference"/>
        </w:rPr>
        <w:footnoteRef/>
      </w:r>
      <w:r>
        <w:t xml:space="preserve"> </w:t>
      </w:r>
      <w:r w:rsidRPr="007C7CE0">
        <w:rPr>
          <w:lang w:val="en-GB"/>
        </w:rPr>
        <w:t>Orbán was quoted as saying this in the run-up to the 2006 general elections on 27 August 200 at a</w:t>
      </w:r>
      <w:r>
        <w:rPr>
          <w:lang w:val="en-GB"/>
        </w:rPr>
        <w:t xml:space="preserve"> widely publicized </w:t>
      </w:r>
      <w:r w:rsidRPr="007C7CE0">
        <w:rPr>
          <w:lang w:val="en-GB"/>
        </w:rPr>
        <w:t xml:space="preserve">Fidesz </w:t>
      </w:r>
      <w:r>
        <w:rPr>
          <w:lang w:val="en-GB"/>
        </w:rPr>
        <w:t xml:space="preserve">convention. </w:t>
      </w:r>
      <w:r w:rsidRPr="007C7CE0">
        <w:rPr>
          <w:lang w:val="en-GB"/>
        </w:rPr>
        <w:t xml:space="preserve">See  </w:t>
      </w:r>
      <w:hyperlink r:id="rId4" w:history="1">
        <w:r w:rsidRPr="007C7CE0">
          <w:rPr>
            <w:rStyle w:val="Hyperlink"/>
            <w:lang w:val="en-GB"/>
          </w:rPr>
          <w:t>http://index.hu/belfold/kamp1525/</w:t>
        </w:r>
      </w:hyperlink>
      <w:r>
        <w:t>.</w:t>
      </w:r>
    </w:p>
  </w:footnote>
  <w:footnote w:id="16">
    <w:p w:rsidR="00BA19D9" w:rsidRPr="007B4995" w:rsidRDefault="00BA19D9" w:rsidP="00D619E0">
      <w:pPr>
        <w:pStyle w:val="FootnoteText"/>
        <w:spacing w:after="120"/>
      </w:pPr>
      <w:r>
        <w:rPr>
          <w:rStyle w:val="FootnoteReference"/>
        </w:rPr>
        <w:footnoteRef/>
      </w:r>
      <w:r>
        <w:t xml:space="preserve"> See R</w:t>
      </w:r>
      <w:r w:rsidR="000347C9">
        <w:t>o</w:t>
      </w:r>
      <w:r>
        <w:t>chlitz (2014).</w:t>
      </w:r>
    </w:p>
  </w:footnote>
  <w:footnote w:id="17">
    <w:p w:rsidR="00BA19D9" w:rsidRPr="00636399" w:rsidRDefault="00BA19D9" w:rsidP="00D619E0">
      <w:pPr>
        <w:pStyle w:val="FootnoteText"/>
        <w:jc w:val="both"/>
      </w:pPr>
      <w:r>
        <w:rPr>
          <w:rStyle w:val="FootnoteReference"/>
        </w:rPr>
        <w:footnoteRef/>
      </w:r>
      <w:r>
        <w:t xml:space="preserve"> The figures in T</w:t>
      </w:r>
      <w:r w:rsidR="00F03707">
        <w:t xml:space="preserve">ABLE </w:t>
      </w:r>
      <w:r>
        <w:t xml:space="preserve">4 display stock data – i.e. the cumulated magnitude of annual FDI flows.   It is also important to note that after the 2008 financial crisis, a large part of </w:t>
      </w:r>
      <w:r w:rsidR="000347C9">
        <w:t xml:space="preserve">the </w:t>
      </w:r>
      <w:r>
        <w:t>FDI inflows was involuntary transfer of money in the order of 3 billion euros.  Foreign banks had no choice; they had to recapitalize their subsidiary companies in Hungary.  In other words, the flow of fresh FDI into the Hungarian banking sector was not the vehicle of future growth, but rather part of the inevitable damage minim</w:t>
      </w:r>
      <w:r w:rsidR="000347C9">
        <w:t>al</w:t>
      </w:r>
      <w:r>
        <w:t xml:space="preserve">ization. </w:t>
      </w:r>
    </w:p>
  </w:footnote>
  <w:footnote w:id="18">
    <w:p w:rsidR="00D97F82" w:rsidRPr="00A51EA3" w:rsidRDefault="00D97F82" w:rsidP="00D97F82">
      <w:pPr>
        <w:pStyle w:val="FootnoteText"/>
        <w:spacing w:after="120"/>
      </w:pPr>
      <w:r>
        <w:rPr>
          <w:rStyle w:val="FootnoteReference"/>
        </w:rPr>
        <w:footnoteRef/>
      </w:r>
      <w:r>
        <w:t xml:space="preserve"> For a detailed analysis of the centralization process, see Kornai (2011, 2012 and 2015).</w:t>
      </w:r>
    </w:p>
  </w:footnote>
  <w:footnote w:id="19">
    <w:p w:rsidR="00BA19D9" w:rsidRDefault="00BA19D9" w:rsidP="002D50CA">
      <w:pPr>
        <w:pStyle w:val="FootnoteText"/>
      </w:pPr>
      <w:r>
        <w:rPr>
          <w:rStyle w:val="FootnoteReference"/>
        </w:rPr>
        <w:footnoteRef/>
      </w:r>
      <w:r>
        <w:t xml:space="preserve"> Meticulous studies proved that between 2009-2015, there was a single bidder in 30% of all public procurement tenders.  On the IT market, this ratio was over 60 percent..</w:t>
      </w:r>
    </w:p>
  </w:footnote>
  <w:footnote w:id="20">
    <w:p w:rsidR="00BA19D9" w:rsidRPr="009E43E7" w:rsidRDefault="00BA19D9" w:rsidP="00A47434">
      <w:pPr>
        <w:pStyle w:val="FootnoteText"/>
        <w:spacing w:after="120"/>
        <w:rPr>
          <w:lang w:val="hu-HU"/>
        </w:rPr>
      </w:pPr>
      <w:r>
        <w:rPr>
          <w:rStyle w:val="FootnoteReference"/>
        </w:rPr>
        <w:footnoteRef/>
      </w:r>
      <w:r>
        <w:t xml:space="preserve"> For an English-language summary of this latter argumentation, see </w:t>
      </w:r>
      <w:hyperlink r:id="rId5" w:history="1">
        <w:r w:rsidRPr="00525770">
          <w:rPr>
            <w:rStyle w:val="Hyperlink"/>
          </w:rPr>
          <w:t>http://hungarianspectrum.org/2014/11/29/rudolf-ungvary-on-the-fascistoid-mutation-in-todays-hungary-part-i/</w:t>
        </w:r>
      </w:hyperlink>
      <w:r>
        <w:t xml:space="preserve"> and </w:t>
      </w:r>
      <w:hyperlink r:id="rId6" w:history="1">
        <w:r w:rsidRPr="00525770">
          <w:rPr>
            <w:rStyle w:val="Hyperlink"/>
          </w:rPr>
          <w:t>http://hungarianspectrum.org/2014/11/30/rudolf-ungvary-on-the-fascistoid-mutation-in-todays-hungary-part-ii/</w:t>
        </w:r>
      </w:hyperlink>
    </w:p>
  </w:footnote>
  <w:footnote w:id="21">
    <w:p w:rsidR="00C46864" w:rsidRPr="00C46864" w:rsidRDefault="00C46864" w:rsidP="0030516E">
      <w:pPr>
        <w:pStyle w:val="FootnoteText"/>
        <w:spacing w:after="120"/>
      </w:pPr>
      <w:r>
        <w:rPr>
          <w:rStyle w:val="FootnoteReference"/>
        </w:rPr>
        <w:footnoteRef/>
      </w:r>
      <w:r>
        <w:t xml:space="preserve"> </w:t>
      </w:r>
      <w:r w:rsidR="00CD6E0C">
        <w:t>For more details on Mr. Matolcsy’s economic ideas, see Bod (2012).</w:t>
      </w:r>
    </w:p>
  </w:footnote>
  <w:footnote w:id="22">
    <w:p w:rsidR="00BA19D9" w:rsidRPr="00A47434" w:rsidRDefault="00BA19D9" w:rsidP="00A47434">
      <w:pPr>
        <w:pStyle w:val="FootnoteText"/>
        <w:spacing w:after="120"/>
      </w:pPr>
      <w:r>
        <w:rPr>
          <w:rStyle w:val="FootnoteReference"/>
        </w:rPr>
        <w:footnoteRef/>
      </w:r>
      <w:r>
        <w:t xml:space="preserve"> </w:t>
      </w:r>
      <w:r w:rsidRPr="00A47434">
        <w:t>Mr. Matolcsy (2016), who is a prolific writer</w:t>
      </w:r>
      <w:r>
        <w:t>,</w:t>
      </w:r>
      <w:r w:rsidRPr="00A47434">
        <w:t xml:space="preserve"> actually says exactly this in his latest, 600 page long book.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D9" w:rsidRDefault="00BA1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D9" w:rsidRDefault="00BA1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D9" w:rsidRDefault="00BA1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F2F"/>
    <w:multiLevelType w:val="hybridMultilevel"/>
    <w:tmpl w:val="6AD4CE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BC72008"/>
    <w:multiLevelType w:val="hybridMultilevel"/>
    <w:tmpl w:val="164E1404"/>
    <w:lvl w:ilvl="0" w:tplc="F04E722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4995917"/>
    <w:multiLevelType w:val="hybridMultilevel"/>
    <w:tmpl w:val="4B2687DC"/>
    <w:lvl w:ilvl="0" w:tplc="C67C0C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1AE1"/>
    <w:rsid w:val="00011525"/>
    <w:rsid w:val="000347C9"/>
    <w:rsid w:val="000C0293"/>
    <w:rsid w:val="000D14C6"/>
    <w:rsid w:val="00101237"/>
    <w:rsid w:val="001214C4"/>
    <w:rsid w:val="0016508B"/>
    <w:rsid w:val="00174CFB"/>
    <w:rsid w:val="001B6ECB"/>
    <w:rsid w:val="001D55C7"/>
    <w:rsid w:val="00204F00"/>
    <w:rsid w:val="0020565C"/>
    <w:rsid w:val="002114A2"/>
    <w:rsid w:val="00265113"/>
    <w:rsid w:val="002669B6"/>
    <w:rsid w:val="002766BE"/>
    <w:rsid w:val="002A194E"/>
    <w:rsid w:val="002A7B24"/>
    <w:rsid w:val="002D50CA"/>
    <w:rsid w:val="0030516E"/>
    <w:rsid w:val="003248D1"/>
    <w:rsid w:val="00365E09"/>
    <w:rsid w:val="003B4578"/>
    <w:rsid w:val="003D3A46"/>
    <w:rsid w:val="004136B0"/>
    <w:rsid w:val="004216DD"/>
    <w:rsid w:val="00523C96"/>
    <w:rsid w:val="005444BF"/>
    <w:rsid w:val="0054765F"/>
    <w:rsid w:val="005A46AB"/>
    <w:rsid w:val="005A726E"/>
    <w:rsid w:val="005E69A1"/>
    <w:rsid w:val="006145DE"/>
    <w:rsid w:val="00661AE1"/>
    <w:rsid w:val="00667F01"/>
    <w:rsid w:val="006C3A84"/>
    <w:rsid w:val="006D57FC"/>
    <w:rsid w:val="006D6C72"/>
    <w:rsid w:val="006E263A"/>
    <w:rsid w:val="007061C0"/>
    <w:rsid w:val="00716E22"/>
    <w:rsid w:val="00782BA0"/>
    <w:rsid w:val="007C2FD2"/>
    <w:rsid w:val="007D1672"/>
    <w:rsid w:val="00862FEA"/>
    <w:rsid w:val="008E0475"/>
    <w:rsid w:val="008F6F36"/>
    <w:rsid w:val="0094737C"/>
    <w:rsid w:val="009711C6"/>
    <w:rsid w:val="009B6095"/>
    <w:rsid w:val="009E43E7"/>
    <w:rsid w:val="00A16968"/>
    <w:rsid w:val="00A47434"/>
    <w:rsid w:val="00A979B1"/>
    <w:rsid w:val="00AD757A"/>
    <w:rsid w:val="00AE097E"/>
    <w:rsid w:val="00AF18A0"/>
    <w:rsid w:val="00B03155"/>
    <w:rsid w:val="00B147AB"/>
    <w:rsid w:val="00B24648"/>
    <w:rsid w:val="00B41848"/>
    <w:rsid w:val="00B52446"/>
    <w:rsid w:val="00BA19D9"/>
    <w:rsid w:val="00BA48F9"/>
    <w:rsid w:val="00BF4B53"/>
    <w:rsid w:val="00C01384"/>
    <w:rsid w:val="00C46864"/>
    <w:rsid w:val="00C54CF8"/>
    <w:rsid w:val="00C555F2"/>
    <w:rsid w:val="00C80CA9"/>
    <w:rsid w:val="00CA1DF4"/>
    <w:rsid w:val="00CA3C75"/>
    <w:rsid w:val="00CB6563"/>
    <w:rsid w:val="00CC1C0D"/>
    <w:rsid w:val="00CD6E0C"/>
    <w:rsid w:val="00D54844"/>
    <w:rsid w:val="00D619E0"/>
    <w:rsid w:val="00D71D37"/>
    <w:rsid w:val="00D93793"/>
    <w:rsid w:val="00D97F82"/>
    <w:rsid w:val="00DA7258"/>
    <w:rsid w:val="00DB711F"/>
    <w:rsid w:val="00E52AE9"/>
    <w:rsid w:val="00E866D5"/>
    <w:rsid w:val="00E9169D"/>
    <w:rsid w:val="00EC6649"/>
    <w:rsid w:val="00F03707"/>
    <w:rsid w:val="00F055C7"/>
    <w:rsid w:val="00F252E9"/>
    <w:rsid w:val="00F50FB8"/>
    <w:rsid w:val="00F70F89"/>
    <w:rsid w:val="00FE1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75094-D6A1-48D1-8E0B-48DAD8AD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46"/>
  </w:style>
  <w:style w:type="paragraph" w:styleId="Heading1">
    <w:name w:val="heading 1"/>
    <w:basedOn w:val="Normal"/>
    <w:link w:val="Heading1Char"/>
    <w:uiPriority w:val="9"/>
    <w:qFormat/>
    <w:rsid w:val="009E4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A2"/>
    <w:pPr>
      <w:ind w:left="720"/>
      <w:contextualSpacing/>
    </w:pPr>
  </w:style>
  <w:style w:type="paragraph" w:styleId="FootnoteText">
    <w:name w:val="footnote text"/>
    <w:aliases w:val="Fußnotentext Char"/>
    <w:basedOn w:val="Normal"/>
    <w:link w:val="FootnoteTextChar"/>
    <w:uiPriority w:val="99"/>
    <w:unhideWhenUsed/>
    <w:rsid w:val="002114A2"/>
    <w:pPr>
      <w:spacing w:after="0" w:line="240" w:lineRule="auto"/>
    </w:pPr>
    <w:rPr>
      <w:rFonts w:ascii="Times New Roman" w:hAnsi="Times New Roman"/>
      <w:sz w:val="20"/>
      <w:szCs w:val="20"/>
      <w:lang w:val="en-GB" w:eastAsia="hu-HU"/>
    </w:rPr>
  </w:style>
  <w:style w:type="character" w:customStyle="1" w:styleId="FootnoteTextChar">
    <w:name w:val="Footnote Text Char"/>
    <w:aliases w:val="Fußnotentext Char Char"/>
    <w:basedOn w:val="DefaultParagraphFont"/>
    <w:link w:val="FootnoteText"/>
    <w:uiPriority w:val="99"/>
    <w:rsid w:val="002114A2"/>
    <w:rPr>
      <w:rFonts w:ascii="Times New Roman" w:hAnsi="Times New Roman"/>
      <w:sz w:val="20"/>
      <w:szCs w:val="20"/>
      <w:lang w:val="en-GB" w:eastAsia="hu-HU"/>
    </w:rPr>
  </w:style>
  <w:style w:type="character" w:styleId="FootnoteReference">
    <w:name w:val="footnote reference"/>
    <w:aliases w:val=" BVI fnr,BVI fnr,Footnote Reference Superscript,Footnote symbol"/>
    <w:basedOn w:val="DefaultParagraphFont"/>
    <w:semiHidden/>
    <w:unhideWhenUsed/>
    <w:rsid w:val="002114A2"/>
    <w:rPr>
      <w:vertAlign w:val="superscript"/>
    </w:rPr>
  </w:style>
  <w:style w:type="paragraph" w:styleId="BalloonText">
    <w:name w:val="Balloon Text"/>
    <w:basedOn w:val="Normal"/>
    <w:link w:val="BalloonTextChar"/>
    <w:uiPriority w:val="99"/>
    <w:semiHidden/>
    <w:unhideWhenUsed/>
    <w:rsid w:val="0021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4A2"/>
    <w:rPr>
      <w:rFonts w:ascii="Tahoma" w:hAnsi="Tahoma" w:cs="Tahoma"/>
      <w:sz w:val="16"/>
      <w:szCs w:val="16"/>
    </w:rPr>
  </w:style>
  <w:style w:type="character" w:styleId="Hyperlink">
    <w:name w:val="Hyperlink"/>
    <w:basedOn w:val="DefaultParagraphFont"/>
    <w:uiPriority w:val="99"/>
    <w:unhideWhenUsed/>
    <w:rsid w:val="002114A2"/>
    <w:rPr>
      <w:color w:val="0000FF" w:themeColor="hyperlink"/>
      <w:u w:val="single"/>
    </w:rPr>
  </w:style>
  <w:style w:type="table" w:styleId="TableGrid">
    <w:name w:val="Table Grid"/>
    <w:basedOn w:val="TableNormal"/>
    <w:uiPriority w:val="59"/>
    <w:rsid w:val="00211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D619E0"/>
    <w:pPr>
      <w:spacing w:after="12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619E0"/>
    <w:rPr>
      <w:rFonts w:ascii="Times New Roman" w:eastAsia="Times New Roman" w:hAnsi="Times New Roman" w:cs="Times New Roman"/>
      <w:sz w:val="20"/>
      <w:szCs w:val="20"/>
    </w:rPr>
  </w:style>
  <w:style w:type="paragraph" w:customStyle="1" w:styleId="book">
    <w:name w:val="book"/>
    <w:basedOn w:val="Normal"/>
    <w:link w:val="bookChar"/>
    <w:rsid w:val="00D54844"/>
    <w:pPr>
      <w:spacing w:after="0" w:line="240" w:lineRule="auto"/>
      <w:ind w:firstLine="720"/>
      <w:jc w:val="both"/>
    </w:pPr>
    <w:rPr>
      <w:rFonts w:ascii="Times New Roman" w:eastAsia="Times New Roman" w:hAnsi="Times New Roman" w:cs="Times New Roman"/>
      <w:sz w:val="24"/>
      <w:szCs w:val="20"/>
    </w:rPr>
  </w:style>
  <w:style w:type="character" w:customStyle="1" w:styleId="bookChar">
    <w:name w:val="book Char"/>
    <w:link w:val="book"/>
    <w:rsid w:val="00D54844"/>
    <w:rPr>
      <w:rFonts w:ascii="Times New Roman" w:eastAsia="Times New Roman" w:hAnsi="Times New Roman" w:cs="Times New Roman"/>
      <w:sz w:val="24"/>
      <w:szCs w:val="20"/>
    </w:rPr>
  </w:style>
  <w:style w:type="paragraph" w:customStyle="1" w:styleId="bookCharChar">
    <w:name w:val="book Char Char"/>
    <w:basedOn w:val="Normal"/>
    <w:link w:val="bookCharCharChar"/>
    <w:rsid w:val="00D54844"/>
    <w:pPr>
      <w:spacing w:after="0" w:line="240" w:lineRule="auto"/>
      <w:ind w:firstLine="284"/>
      <w:jc w:val="both"/>
    </w:pPr>
    <w:rPr>
      <w:rFonts w:ascii="Times New Roman" w:eastAsia="Times New Roman" w:hAnsi="Times New Roman" w:cs="Times New Roman"/>
      <w:sz w:val="24"/>
      <w:szCs w:val="20"/>
    </w:rPr>
  </w:style>
  <w:style w:type="character" w:customStyle="1" w:styleId="bookCharCharChar">
    <w:name w:val="book Char Char Char"/>
    <w:link w:val="bookCharChar"/>
    <w:rsid w:val="00D5484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866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66D5"/>
  </w:style>
  <w:style w:type="paragraph" w:styleId="Footer">
    <w:name w:val="footer"/>
    <w:basedOn w:val="Normal"/>
    <w:link w:val="FooterChar"/>
    <w:uiPriority w:val="99"/>
    <w:unhideWhenUsed/>
    <w:rsid w:val="00E866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66D5"/>
  </w:style>
  <w:style w:type="character" w:customStyle="1" w:styleId="bookChar1">
    <w:name w:val="book Char1"/>
    <w:rsid w:val="006145DE"/>
    <w:rPr>
      <w:sz w:val="24"/>
      <w:lang w:val="hu-HU" w:eastAsia="en-US" w:bidi="ar-SA"/>
    </w:rPr>
  </w:style>
  <w:style w:type="character" w:styleId="EndnoteReference">
    <w:name w:val="endnote reference"/>
    <w:semiHidden/>
    <w:rsid w:val="00EC6649"/>
    <w:rPr>
      <w:vertAlign w:val="superscript"/>
    </w:rPr>
  </w:style>
  <w:style w:type="character" w:customStyle="1" w:styleId="Heading1Char">
    <w:name w:val="Heading 1 Char"/>
    <w:basedOn w:val="DefaultParagraphFont"/>
    <w:link w:val="Heading1"/>
    <w:uiPriority w:val="9"/>
    <w:rsid w:val="009E43E7"/>
    <w:rPr>
      <w:rFonts w:ascii="Times New Roman" w:eastAsia="Times New Roman" w:hAnsi="Times New Roman" w:cs="Times New Roman"/>
      <w:b/>
      <w:bCs/>
      <w:kern w:val="36"/>
      <w:sz w:val="48"/>
      <w:szCs w:val="48"/>
      <w:lang w:eastAsia="hu-HU"/>
    </w:rPr>
  </w:style>
  <w:style w:type="character" w:styleId="Strong">
    <w:name w:val="Strong"/>
    <w:basedOn w:val="DefaultParagraphFont"/>
    <w:uiPriority w:val="22"/>
    <w:qFormat/>
    <w:rsid w:val="009E43E7"/>
    <w:rPr>
      <w:b/>
      <w:bCs/>
    </w:rPr>
  </w:style>
  <w:style w:type="character" w:styleId="FollowedHyperlink">
    <w:name w:val="FollowedHyperlink"/>
    <w:basedOn w:val="DefaultParagraphFont"/>
    <w:uiPriority w:val="99"/>
    <w:semiHidden/>
    <w:unhideWhenUsed/>
    <w:rsid w:val="00D97F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559804">
      <w:bodyDiv w:val="1"/>
      <w:marLeft w:val="0"/>
      <w:marRight w:val="0"/>
      <w:marTop w:val="0"/>
      <w:marBottom w:val="0"/>
      <w:divBdr>
        <w:top w:val="none" w:sz="0" w:space="0" w:color="auto"/>
        <w:left w:val="none" w:sz="0" w:space="0" w:color="auto"/>
        <w:bottom w:val="none" w:sz="0" w:space="0" w:color="auto"/>
        <w:right w:val="none" w:sz="0" w:space="0" w:color="auto"/>
      </w:divBdr>
    </w:div>
    <w:div w:id="1466966256">
      <w:bodyDiv w:val="1"/>
      <w:marLeft w:val="0"/>
      <w:marRight w:val="0"/>
      <w:marTop w:val="0"/>
      <w:marBottom w:val="0"/>
      <w:divBdr>
        <w:top w:val="none" w:sz="0" w:space="0" w:color="auto"/>
        <w:left w:val="none" w:sz="0" w:space="0" w:color="auto"/>
        <w:bottom w:val="none" w:sz="0" w:space="0" w:color="auto"/>
        <w:right w:val="none" w:sz="0" w:space="0" w:color="auto"/>
      </w:divBdr>
    </w:div>
    <w:div w:id="1637682216">
      <w:bodyDiv w:val="1"/>
      <w:marLeft w:val="0"/>
      <w:marRight w:val="0"/>
      <w:marTop w:val="0"/>
      <w:marBottom w:val="0"/>
      <w:divBdr>
        <w:top w:val="none" w:sz="0" w:space="0" w:color="auto"/>
        <w:left w:val="none" w:sz="0" w:space="0" w:color="auto"/>
        <w:bottom w:val="none" w:sz="0" w:space="0" w:color="auto"/>
        <w:right w:val="none" w:sz="0" w:space="0" w:color="auto"/>
      </w:divBdr>
    </w:div>
    <w:div w:id="1735159351">
      <w:bodyDiv w:val="1"/>
      <w:marLeft w:val="0"/>
      <w:marRight w:val="0"/>
      <w:marTop w:val="0"/>
      <w:marBottom w:val="0"/>
      <w:divBdr>
        <w:top w:val="none" w:sz="0" w:space="0" w:color="auto"/>
        <w:left w:val="none" w:sz="0" w:space="0" w:color="auto"/>
        <w:bottom w:val="none" w:sz="0" w:space="0" w:color="auto"/>
        <w:right w:val="none" w:sz="0" w:space="0" w:color="auto"/>
      </w:divBdr>
    </w:div>
    <w:div w:id="2010984386">
      <w:bodyDiv w:val="1"/>
      <w:marLeft w:val="0"/>
      <w:marRight w:val="0"/>
      <w:marTop w:val="0"/>
      <w:marBottom w:val="0"/>
      <w:divBdr>
        <w:top w:val="none" w:sz="0" w:space="0" w:color="auto"/>
        <w:left w:val="none" w:sz="0" w:space="0" w:color="auto"/>
        <w:bottom w:val="none" w:sz="0" w:space="0" w:color="auto"/>
        <w:right w:val="none" w:sz="0" w:space="0" w:color="auto"/>
      </w:divBdr>
    </w:div>
    <w:div w:id="202408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package" Target="embeddings/Microsoft_Excel_Worksheet1.xlsx"/><Relationship Id="rId18" Type="http://schemas.openxmlformats.org/officeDocument/2006/relationships/image" Target="media/image4.emf"/><Relationship Id="rId26" Type="http://schemas.openxmlformats.org/officeDocument/2006/relationships/hyperlink" Target="http://www.foreignaffairs.com/articles/141825/jan-werner-mueller/moscows-trojan-horse" TargetMode="External"/><Relationship Id="rId3" Type="http://schemas.openxmlformats.org/officeDocument/2006/relationships/styles" Target="styles.xml"/><Relationship Id="rId21" Type="http://schemas.openxmlformats.org/officeDocument/2006/relationships/hyperlink" Target="http://ec.europa.eu/europe2020/pdf/nrp/nrp_hungary_en.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iiw.ac.at/fdi-database.html" TargetMode="External"/><Relationship Id="rId25" Type="http://schemas.openxmlformats.org/officeDocument/2006/relationships/hyperlink" Target="http://www.privatizationbarometer.net/PUB/NL/5/3/PB_AR2013-2014.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jtl.columbia.edu/hungarys-dangerous-constitution/" TargetMode="External"/><Relationship Id="rId29" Type="http://schemas.openxmlformats.org/officeDocument/2006/relationships/hyperlink" Target="http://www.parlament.hu/irom39/00047/00047_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alization.kof.ethz.ch/" TargetMode="External"/><Relationship Id="rId24" Type="http://schemas.openxmlformats.org/officeDocument/2006/relationships/hyperlink" Target="http://nol.hu/belfold/centralization_and_the_capitalist_market_economy-1297262"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hyperlink" Target="http://nol.hu/gazdasag/janos_kornai__taking_stock-938851" TargetMode="External"/><Relationship Id="rId28" Type="http://schemas.openxmlformats.org/officeDocument/2006/relationships/hyperlink" Target="http://krugman.blogs.nytimes.com/2013/04/08/guest-posthungary-the-public-relations-offensive/?_r=0" TargetMode="Externa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package" Target="embeddings/Microsoft_Excel_Worksheet3.xlsx"/><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ecd-ilibrary.org/economics/data/oecd-product-market-regulation-statistics_pmr-data-en" TargetMode="External"/><Relationship Id="rId14" Type="http://schemas.openxmlformats.org/officeDocument/2006/relationships/image" Target="media/image2.emf"/><Relationship Id="rId22" Type="http://schemas.openxmlformats.org/officeDocument/2006/relationships/hyperlink" Target="http://www.the-american-interest.com/2012/02/06/whats-wrong-with-hungary/" TargetMode="External"/><Relationship Id="rId27" Type="http://schemas.openxmlformats.org/officeDocument/2006/relationships/hyperlink" Target="http://krugman.blogs.nytimes.com/2012/01/02/the-unconstitutionalconstitution/"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investmentpolicyhub.unctad.org/IIA/CountryBits/94" TargetMode="External"/><Relationship Id="rId2" Type="http://schemas.openxmlformats.org/officeDocument/2006/relationships/hyperlink" Target="http://www.kormany.hu/download/e/02/00000/The%20New%20Fundamental%20Law%20of%20Hungary.pdf" TargetMode="External"/><Relationship Id="rId1" Type="http://schemas.openxmlformats.org/officeDocument/2006/relationships/hyperlink" Target="mailto:peter@mihalyi.com" TargetMode="External"/><Relationship Id="rId6" Type="http://schemas.openxmlformats.org/officeDocument/2006/relationships/hyperlink" Target="http://hungarianspectrum.org/2014/11/30/rudolf-ungvary-on-the-fascistoid-mutation-in-todays-hungary-part-ii/" TargetMode="External"/><Relationship Id="rId5" Type="http://schemas.openxmlformats.org/officeDocument/2006/relationships/hyperlink" Target="http://hungarianspectrum.org/2014/11/29/rudolf-ungvary-on-the-fascistoid-mutation-in-todays-hungary-part-i/" TargetMode="External"/><Relationship Id="rId4" Type="http://schemas.openxmlformats.org/officeDocument/2006/relationships/hyperlink" Target="http://index.hu/belfold/kamp152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PETER\PRIVATIS\DATA\OECD_Cumulated_privatization%20revenu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ETER\DATA\Globalization_index_KOF.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English!$B$14</c:f>
              <c:strCache>
                <c:ptCount val="1"/>
                <c:pt idx="0">
                  <c:v>Poland</c:v>
                </c:pt>
              </c:strCache>
            </c:strRef>
          </c:tx>
          <c:marker>
            <c:symbol val="none"/>
          </c:marker>
          <c:cat>
            <c:numRef>
              <c:f>English!$A$15:$A$37</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English!$B$15:$B$37</c:f>
              <c:numCache>
                <c:formatCode>General</c:formatCode>
                <c:ptCount val="23"/>
                <c:pt idx="0">
                  <c:v>0.1</c:v>
                </c:pt>
                <c:pt idx="1">
                  <c:v>0.5</c:v>
                </c:pt>
                <c:pt idx="2">
                  <c:v>0.76000000000000023</c:v>
                </c:pt>
                <c:pt idx="3">
                  <c:v>1.54</c:v>
                </c:pt>
                <c:pt idx="4">
                  <c:v>2.13</c:v>
                </c:pt>
                <c:pt idx="5">
                  <c:v>2.84</c:v>
                </c:pt>
                <c:pt idx="6">
                  <c:v>3.22</c:v>
                </c:pt>
                <c:pt idx="7">
                  <c:v>4.6499999999999995</c:v>
                </c:pt>
                <c:pt idx="8">
                  <c:v>6.06</c:v>
                </c:pt>
                <c:pt idx="9">
                  <c:v>8.3800000000000008</c:v>
                </c:pt>
                <c:pt idx="10">
                  <c:v>11.98</c:v>
                </c:pt>
                <c:pt idx="11">
                  <c:v>12.93</c:v>
                </c:pt>
                <c:pt idx="12">
                  <c:v>13.360000000000003</c:v>
                </c:pt>
                <c:pt idx="13">
                  <c:v>13.78</c:v>
                </c:pt>
                <c:pt idx="14">
                  <c:v>14.850000000000003</c:v>
                </c:pt>
                <c:pt idx="15">
                  <c:v>15.46</c:v>
                </c:pt>
                <c:pt idx="16">
                  <c:v>15.57</c:v>
                </c:pt>
                <c:pt idx="17">
                  <c:v>15.68</c:v>
                </c:pt>
                <c:pt idx="18">
                  <c:v>15.860000000000003</c:v>
                </c:pt>
                <c:pt idx="19">
                  <c:v>16.260000000000002</c:v>
                </c:pt>
                <c:pt idx="20">
                  <c:v>17.86</c:v>
                </c:pt>
                <c:pt idx="21">
                  <c:v>18.760000000000002</c:v>
                </c:pt>
                <c:pt idx="22">
                  <c:v>19.760000000000002</c:v>
                </c:pt>
              </c:numCache>
            </c:numRef>
          </c:val>
          <c:smooth val="0"/>
        </c:ser>
        <c:ser>
          <c:idx val="1"/>
          <c:order val="1"/>
          <c:tx>
            <c:strRef>
              <c:f>English!$C$14</c:f>
              <c:strCache>
                <c:ptCount val="1"/>
                <c:pt idx="0">
                  <c:v>Czech R.</c:v>
                </c:pt>
              </c:strCache>
            </c:strRef>
          </c:tx>
          <c:marker>
            <c:symbol val="none"/>
          </c:marker>
          <c:cat>
            <c:numRef>
              <c:f>English!$A$15:$A$37</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English!$C$15:$C$37</c:f>
              <c:numCache>
                <c:formatCode>General</c:formatCode>
                <c:ptCount val="23"/>
                <c:pt idx="0">
                  <c:v>6.0000000000000019E-2</c:v>
                </c:pt>
                <c:pt idx="1">
                  <c:v>1.8900000000000001</c:v>
                </c:pt>
                <c:pt idx="2">
                  <c:v>5.96</c:v>
                </c:pt>
                <c:pt idx="3">
                  <c:v>7.6</c:v>
                </c:pt>
                <c:pt idx="4">
                  <c:v>7.6199999999999983</c:v>
                </c:pt>
                <c:pt idx="5">
                  <c:v>10.46</c:v>
                </c:pt>
                <c:pt idx="6">
                  <c:v>10.46</c:v>
                </c:pt>
                <c:pt idx="7">
                  <c:v>10.58</c:v>
                </c:pt>
                <c:pt idx="8">
                  <c:v>10.92</c:v>
                </c:pt>
                <c:pt idx="9">
                  <c:v>12.81</c:v>
                </c:pt>
                <c:pt idx="10">
                  <c:v>13.94</c:v>
                </c:pt>
                <c:pt idx="11">
                  <c:v>16.71</c:v>
                </c:pt>
                <c:pt idx="12">
                  <c:v>22.09</c:v>
                </c:pt>
                <c:pt idx="13">
                  <c:v>22.86</c:v>
                </c:pt>
                <c:pt idx="14">
                  <c:v>23.55</c:v>
                </c:pt>
                <c:pt idx="15">
                  <c:v>26.57</c:v>
                </c:pt>
                <c:pt idx="16">
                  <c:v>26.57</c:v>
                </c:pt>
                <c:pt idx="17">
                  <c:v>26.82</c:v>
                </c:pt>
                <c:pt idx="18">
                  <c:v>26.830000000000005</c:v>
                </c:pt>
                <c:pt idx="19">
                  <c:v>26.830000000000005</c:v>
                </c:pt>
                <c:pt idx="20">
                  <c:v>26.830000000000005</c:v>
                </c:pt>
                <c:pt idx="21">
                  <c:v>26.830000000000005</c:v>
                </c:pt>
                <c:pt idx="22">
                  <c:v>26.830000000000005</c:v>
                </c:pt>
              </c:numCache>
            </c:numRef>
          </c:val>
          <c:smooth val="0"/>
        </c:ser>
        <c:ser>
          <c:idx val="2"/>
          <c:order val="2"/>
          <c:tx>
            <c:strRef>
              <c:f>English!$D$14</c:f>
              <c:strCache>
                <c:ptCount val="1"/>
                <c:pt idx="0">
                  <c:v>Estonia</c:v>
                </c:pt>
              </c:strCache>
            </c:strRef>
          </c:tx>
          <c:marker>
            <c:symbol val="none"/>
          </c:marker>
          <c:cat>
            <c:numRef>
              <c:f>English!$A$15:$A$37</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English!$D$15:$D$37</c:f>
              <c:numCache>
                <c:formatCode>General</c:formatCode>
                <c:ptCount val="23"/>
                <c:pt idx="0">
                  <c:v>0</c:v>
                </c:pt>
                <c:pt idx="1">
                  <c:v>0</c:v>
                </c:pt>
                <c:pt idx="2">
                  <c:v>0</c:v>
                </c:pt>
                <c:pt idx="3">
                  <c:v>0</c:v>
                </c:pt>
                <c:pt idx="4">
                  <c:v>0</c:v>
                </c:pt>
                <c:pt idx="5">
                  <c:v>2.06</c:v>
                </c:pt>
                <c:pt idx="6">
                  <c:v>2.9099999999999997</c:v>
                </c:pt>
                <c:pt idx="7">
                  <c:v>6.41</c:v>
                </c:pt>
                <c:pt idx="8">
                  <c:v>7.18</c:v>
                </c:pt>
                <c:pt idx="9">
                  <c:v>11.870000000000003</c:v>
                </c:pt>
                <c:pt idx="10">
                  <c:v>14.97</c:v>
                </c:pt>
                <c:pt idx="11">
                  <c:v>15.91</c:v>
                </c:pt>
                <c:pt idx="12">
                  <c:v>15.91</c:v>
                </c:pt>
                <c:pt idx="13">
                  <c:v>15.91</c:v>
                </c:pt>
                <c:pt idx="14">
                  <c:v>15.91</c:v>
                </c:pt>
                <c:pt idx="15">
                  <c:v>15.91</c:v>
                </c:pt>
                <c:pt idx="16">
                  <c:v>15.950000000000003</c:v>
                </c:pt>
                <c:pt idx="17">
                  <c:v>15.950000000000003</c:v>
                </c:pt>
                <c:pt idx="18">
                  <c:v>15.950000000000003</c:v>
                </c:pt>
                <c:pt idx="19">
                  <c:v>15.97</c:v>
                </c:pt>
                <c:pt idx="20">
                  <c:v>17.64</c:v>
                </c:pt>
              </c:numCache>
            </c:numRef>
          </c:val>
          <c:smooth val="0"/>
        </c:ser>
        <c:ser>
          <c:idx val="3"/>
          <c:order val="3"/>
          <c:tx>
            <c:strRef>
              <c:f>English!$E$14</c:f>
              <c:strCache>
                <c:ptCount val="1"/>
                <c:pt idx="0">
                  <c:v>HUNGARY</c:v>
                </c:pt>
              </c:strCache>
            </c:strRef>
          </c:tx>
          <c:spPr>
            <a:ln>
              <a:prstDash val="sysDot"/>
            </a:ln>
          </c:spPr>
          <c:marker>
            <c:symbol val="none"/>
          </c:marker>
          <c:cat>
            <c:numRef>
              <c:f>English!$A$15:$A$37</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English!$E$15:$E$37</c:f>
              <c:numCache>
                <c:formatCode>General</c:formatCode>
                <c:ptCount val="23"/>
                <c:pt idx="0">
                  <c:v>1.46</c:v>
                </c:pt>
                <c:pt idx="1">
                  <c:v>3.7800000000000002</c:v>
                </c:pt>
                <c:pt idx="2">
                  <c:v>5.83</c:v>
                </c:pt>
                <c:pt idx="3">
                  <c:v>10.11</c:v>
                </c:pt>
                <c:pt idx="4">
                  <c:v>13.67</c:v>
                </c:pt>
                <c:pt idx="5">
                  <c:v>22.419999999999995</c:v>
                </c:pt>
                <c:pt idx="6">
                  <c:v>24.49</c:v>
                </c:pt>
                <c:pt idx="7">
                  <c:v>29.09</c:v>
                </c:pt>
                <c:pt idx="8">
                  <c:v>29.8</c:v>
                </c:pt>
                <c:pt idx="9">
                  <c:v>32.630000000000003</c:v>
                </c:pt>
                <c:pt idx="10">
                  <c:v>32.83</c:v>
                </c:pt>
                <c:pt idx="11">
                  <c:v>32.980000000000004</c:v>
                </c:pt>
                <c:pt idx="12">
                  <c:v>33.01</c:v>
                </c:pt>
                <c:pt idx="13">
                  <c:v>33.880000000000003</c:v>
                </c:pt>
                <c:pt idx="14">
                  <c:v>35.08</c:v>
                </c:pt>
                <c:pt idx="15">
                  <c:v>37.450000000000003</c:v>
                </c:pt>
                <c:pt idx="16">
                  <c:v>39.160000000000011</c:v>
                </c:pt>
                <c:pt idx="17">
                  <c:v>39.550000000000004</c:v>
                </c:pt>
                <c:pt idx="18">
                  <c:v>39.550000000000004</c:v>
                </c:pt>
                <c:pt idx="19">
                  <c:v>39.550000000000004</c:v>
                </c:pt>
                <c:pt idx="20">
                  <c:v>39.550000000000004</c:v>
                </c:pt>
                <c:pt idx="21">
                  <c:v>39.550000000000004</c:v>
                </c:pt>
                <c:pt idx="22">
                  <c:v>39.550000000000004</c:v>
                </c:pt>
              </c:numCache>
            </c:numRef>
          </c:val>
          <c:smooth val="0"/>
        </c:ser>
        <c:ser>
          <c:idx val="4"/>
          <c:order val="4"/>
          <c:tx>
            <c:strRef>
              <c:f>English!$F$14</c:f>
              <c:strCache>
                <c:ptCount val="1"/>
                <c:pt idx="0">
                  <c:v>Slovakia</c:v>
                </c:pt>
              </c:strCache>
            </c:strRef>
          </c:tx>
          <c:marker>
            <c:symbol val="none"/>
          </c:marker>
          <c:cat>
            <c:numRef>
              <c:f>English!$A$15:$A$37</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English!$F$15:$F$37</c:f>
              <c:numCache>
                <c:formatCode>General</c:formatCode>
                <c:ptCount val="23"/>
                <c:pt idx="0">
                  <c:v>0</c:v>
                </c:pt>
                <c:pt idx="1">
                  <c:v>0</c:v>
                </c:pt>
                <c:pt idx="2">
                  <c:v>0</c:v>
                </c:pt>
                <c:pt idx="3">
                  <c:v>0.39000000000000012</c:v>
                </c:pt>
                <c:pt idx="4">
                  <c:v>2.4899999999999998</c:v>
                </c:pt>
                <c:pt idx="5">
                  <c:v>6.4700000000000015</c:v>
                </c:pt>
                <c:pt idx="6">
                  <c:v>8.25</c:v>
                </c:pt>
                <c:pt idx="7">
                  <c:v>8.2900000000000009</c:v>
                </c:pt>
                <c:pt idx="8">
                  <c:v>8.2900000000000009</c:v>
                </c:pt>
                <c:pt idx="9">
                  <c:v>8.2900000000000009</c:v>
                </c:pt>
                <c:pt idx="10">
                  <c:v>11.72</c:v>
                </c:pt>
                <c:pt idx="11">
                  <c:v>15.17</c:v>
                </c:pt>
                <c:pt idx="12">
                  <c:v>25.23</c:v>
                </c:pt>
                <c:pt idx="13">
                  <c:v>25.54</c:v>
                </c:pt>
                <c:pt idx="14">
                  <c:v>25.89</c:v>
                </c:pt>
                <c:pt idx="15">
                  <c:v>25.919999999999995</c:v>
                </c:pt>
                <c:pt idx="16">
                  <c:v>27.52</c:v>
                </c:pt>
                <c:pt idx="17">
                  <c:v>27.52</c:v>
                </c:pt>
                <c:pt idx="18">
                  <c:v>27.52</c:v>
                </c:pt>
                <c:pt idx="19">
                  <c:v>27.52</c:v>
                </c:pt>
                <c:pt idx="20">
                  <c:v>27.52</c:v>
                </c:pt>
                <c:pt idx="21">
                  <c:v>27.52</c:v>
                </c:pt>
                <c:pt idx="22">
                  <c:v>27.52</c:v>
                </c:pt>
              </c:numCache>
            </c:numRef>
          </c:val>
          <c:smooth val="0"/>
        </c:ser>
        <c:ser>
          <c:idx val="5"/>
          <c:order val="5"/>
          <c:tx>
            <c:strRef>
              <c:f>English!$G$14</c:f>
              <c:strCache>
                <c:ptCount val="1"/>
                <c:pt idx="0">
                  <c:v>Slovenia</c:v>
                </c:pt>
              </c:strCache>
            </c:strRef>
          </c:tx>
          <c:spPr>
            <a:ln cmpd="dbl">
              <a:prstDash val="lgDashDot"/>
            </a:ln>
          </c:spPr>
          <c:marker>
            <c:symbol val="none"/>
          </c:marker>
          <c:cat>
            <c:numRef>
              <c:f>English!$A$15:$A$37</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English!$G$15:$G$37</c:f>
              <c:numCache>
                <c:formatCode>General</c:formatCode>
                <c:ptCount val="23"/>
                <c:pt idx="0">
                  <c:v>0</c:v>
                </c:pt>
                <c:pt idx="1">
                  <c:v>0</c:v>
                </c:pt>
                <c:pt idx="2">
                  <c:v>2.2799999999999998</c:v>
                </c:pt>
                <c:pt idx="3">
                  <c:v>2.8899999999999997</c:v>
                </c:pt>
                <c:pt idx="4">
                  <c:v>2.94</c:v>
                </c:pt>
                <c:pt idx="5">
                  <c:v>3.66</c:v>
                </c:pt>
                <c:pt idx="6">
                  <c:v>3.66</c:v>
                </c:pt>
                <c:pt idx="7">
                  <c:v>3.66</c:v>
                </c:pt>
                <c:pt idx="8">
                  <c:v>3.66</c:v>
                </c:pt>
                <c:pt idx="9">
                  <c:v>3.66</c:v>
                </c:pt>
                <c:pt idx="10">
                  <c:v>3.66</c:v>
                </c:pt>
                <c:pt idx="11">
                  <c:v>3.66</c:v>
                </c:pt>
                <c:pt idx="12">
                  <c:v>3.66</c:v>
                </c:pt>
                <c:pt idx="13">
                  <c:v>3.66</c:v>
                </c:pt>
                <c:pt idx="14">
                  <c:v>3.66</c:v>
                </c:pt>
                <c:pt idx="15">
                  <c:v>3.66</c:v>
                </c:pt>
                <c:pt idx="16">
                  <c:v>3.66</c:v>
                </c:pt>
                <c:pt idx="17">
                  <c:v>5.4</c:v>
                </c:pt>
                <c:pt idx="18">
                  <c:v>5.4</c:v>
                </c:pt>
                <c:pt idx="19">
                  <c:v>5.5</c:v>
                </c:pt>
                <c:pt idx="20">
                  <c:v>5.6</c:v>
                </c:pt>
                <c:pt idx="21">
                  <c:v>5.7</c:v>
                </c:pt>
              </c:numCache>
            </c:numRef>
          </c:val>
          <c:smooth val="0"/>
        </c:ser>
        <c:ser>
          <c:idx val="6"/>
          <c:order val="6"/>
          <c:tx>
            <c:strRef>
              <c:f>English!$H$14</c:f>
              <c:strCache>
                <c:ptCount val="1"/>
                <c:pt idx="0">
                  <c:v>Latvia</c:v>
                </c:pt>
              </c:strCache>
            </c:strRef>
          </c:tx>
          <c:marker>
            <c:symbol val="none"/>
          </c:marker>
          <c:cat>
            <c:numRef>
              <c:f>English!$A$15:$A$37</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English!$H$15:$H$37</c:f>
              <c:numCache>
                <c:formatCode>General</c:formatCode>
                <c:ptCount val="23"/>
                <c:pt idx="0">
                  <c:v>0</c:v>
                </c:pt>
                <c:pt idx="1">
                  <c:v>0</c:v>
                </c:pt>
                <c:pt idx="2">
                  <c:v>0</c:v>
                </c:pt>
                <c:pt idx="3">
                  <c:v>0</c:v>
                </c:pt>
                <c:pt idx="4">
                  <c:v>3.16</c:v>
                </c:pt>
                <c:pt idx="5">
                  <c:v>3.16</c:v>
                </c:pt>
                <c:pt idx="6">
                  <c:v>3.8099999999999992</c:v>
                </c:pt>
                <c:pt idx="7">
                  <c:v>7.64</c:v>
                </c:pt>
                <c:pt idx="8">
                  <c:v>18.920000000000002</c:v>
                </c:pt>
                <c:pt idx="9">
                  <c:v>19.43</c:v>
                </c:pt>
                <c:pt idx="10">
                  <c:v>19.43</c:v>
                </c:pt>
                <c:pt idx="11">
                  <c:v>19.43</c:v>
                </c:pt>
                <c:pt idx="12">
                  <c:v>20.190000000000001</c:v>
                </c:pt>
                <c:pt idx="13">
                  <c:v>20.329999999999991</c:v>
                </c:pt>
                <c:pt idx="14">
                  <c:v>20.329999999999991</c:v>
                </c:pt>
                <c:pt idx="15">
                  <c:v>20.329999999999991</c:v>
                </c:pt>
                <c:pt idx="16">
                  <c:v>21</c:v>
                </c:pt>
                <c:pt idx="17">
                  <c:v>21</c:v>
                </c:pt>
                <c:pt idx="18">
                  <c:v>21</c:v>
                </c:pt>
                <c:pt idx="19">
                  <c:v>21.1</c:v>
                </c:pt>
                <c:pt idx="20">
                  <c:v>21.2</c:v>
                </c:pt>
                <c:pt idx="21">
                  <c:v>21.3</c:v>
                </c:pt>
              </c:numCache>
            </c:numRef>
          </c:val>
          <c:smooth val="0"/>
        </c:ser>
        <c:ser>
          <c:idx val="7"/>
          <c:order val="7"/>
          <c:tx>
            <c:strRef>
              <c:f>English!$I$14</c:f>
              <c:strCache>
                <c:ptCount val="1"/>
                <c:pt idx="0">
                  <c:v>Lithuania</c:v>
                </c:pt>
              </c:strCache>
            </c:strRef>
          </c:tx>
          <c:marker>
            <c:symbol val="none"/>
          </c:marker>
          <c:cat>
            <c:numRef>
              <c:f>English!$A$15:$A$37</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English!$I$15:$I$37</c:f>
              <c:numCache>
                <c:formatCode>General</c:formatCode>
                <c:ptCount val="23"/>
                <c:pt idx="0">
                  <c:v>0</c:v>
                </c:pt>
                <c:pt idx="1">
                  <c:v>0</c:v>
                </c:pt>
                <c:pt idx="2">
                  <c:v>1.0000000000000004E-2</c:v>
                </c:pt>
                <c:pt idx="3">
                  <c:v>0.3000000000000001</c:v>
                </c:pt>
                <c:pt idx="4">
                  <c:v>0.89000000000000012</c:v>
                </c:pt>
                <c:pt idx="5">
                  <c:v>1.44</c:v>
                </c:pt>
                <c:pt idx="6">
                  <c:v>10.74</c:v>
                </c:pt>
                <c:pt idx="7">
                  <c:v>10.83</c:v>
                </c:pt>
                <c:pt idx="8">
                  <c:v>16.010000000000005</c:v>
                </c:pt>
                <c:pt idx="9">
                  <c:v>16.489999999999984</c:v>
                </c:pt>
                <c:pt idx="10">
                  <c:v>16.579999999999991</c:v>
                </c:pt>
                <c:pt idx="11">
                  <c:v>17.3</c:v>
                </c:pt>
                <c:pt idx="12">
                  <c:v>17.7</c:v>
                </c:pt>
                <c:pt idx="13">
                  <c:v>19.3</c:v>
                </c:pt>
                <c:pt idx="14">
                  <c:v>19.459999999999994</c:v>
                </c:pt>
                <c:pt idx="15">
                  <c:v>19.510000000000005</c:v>
                </c:pt>
                <c:pt idx="16">
                  <c:v>22.34</c:v>
                </c:pt>
                <c:pt idx="17">
                  <c:v>22.34</c:v>
                </c:pt>
                <c:pt idx="18">
                  <c:v>22.35</c:v>
                </c:pt>
                <c:pt idx="19">
                  <c:v>23.150000000000006</c:v>
                </c:pt>
                <c:pt idx="20">
                  <c:v>23.25</c:v>
                </c:pt>
                <c:pt idx="21">
                  <c:v>23.25</c:v>
                </c:pt>
              </c:numCache>
            </c:numRef>
          </c:val>
          <c:smooth val="0"/>
        </c:ser>
        <c:dLbls>
          <c:showLegendKey val="0"/>
          <c:showVal val="0"/>
          <c:showCatName val="0"/>
          <c:showSerName val="0"/>
          <c:showPercent val="0"/>
          <c:showBubbleSize val="0"/>
        </c:dLbls>
        <c:smooth val="0"/>
        <c:axId val="624705800"/>
        <c:axId val="624707368"/>
      </c:lineChart>
      <c:catAx>
        <c:axId val="624705800"/>
        <c:scaling>
          <c:orientation val="minMax"/>
        </c:scaling>
        <c:delete val="0"/>
        <c:axPos val="b"/>
        <c:numFmt formatCode="General" sourceLinked="1"/>
        <c:majorTickMark val="out"/>
        <c:minorTickMark val="none"/>
        <c:tickLblPos val="nextTo"/>
        <c:crossAx val="624707368"/>
        <c:crosses val="autoZero"/>
        <c:auto val="1"/>
        <c:lblAlgn val="ctr"/>
        <c:lblOffset val="100"/>
        <c:noMultiLvlLbl val="0"/>
      </c:catAx>
      <c:valAx>
        <c:axId val="624707368"/>
        <c:scaling>
          <c:orientation val="minMax"/>
        </c:scaling>
        <c:delete val="0"/>
        <c:axPos val="l"/>
        <c:majorGridlines/>
        <c:numFmt formatCode="General" sourceLinked="1"/>
        <c:majorTickMark val="out"/>
        <c:minorTickMark val="none"/>
        <c:tickLblPos val="nextTo"/>
        <c:crossAx val="624705800"/>
        <c:crosses val="autoZero"/>
        <c:crossBetween val="between"/>
      </c:valAx>
    </c:plotArea>
    <c:legend>
      <c:legendPos val="b"/>
      <c:layout>
        <c:manualLayout>
          <c:xMode val="edge"/>
          <c:yMode val="edge"/>
          <c:x val="3.2031243842267479E-2"/>
          <c:y val="0.86224313424236609"/>
          <c:w val="0.92592750230545529"/>
          <c:h val="0.1174316625056014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English!$A$4:$A$40</c:f>
              <c:strCache>
                <c:ptCount val="37"/>
                <c:pt idx="0">
                  <c:v>Ireland</c:v>
                </c:pt>
                <c:pt idx="1">
                  <c:v>Luxembourg</c:v>
                </c:pt>
                <c:pt idx="2">
                  <c:v>Netherlands</c:v>
                </c:pt>
                <c:pt idx="3">
                  <c:v>Malta</c:v>
                </c:pt>
                <c:pt idx="4">
                  <c:v>Belgium</c:v>
                </c:pt>
                <c:pt idx="5">
                  <c:v>Estonia</c:v>
                </c:pt>
                <c:pt idx="6">
                  <c:v>HUNGARY</c:v>
                </c:pt>
                <c:pt idx="7">
                  <c:v>Sweden</c:v>
                </c:pt>
                <c:pt idx="8">
                  <c:v>Austria</c:v>
                </c:pt>
                <c:pt idx="9">
                  <c:v>Denmark</c:v>
                </c:pt>
                <c:pt idx="10">
                  <c:v>Czech Republic</c:v>
                </c:pt>
                <c:pt idx="11">
                  <c:v>Cyprus</c:v>
                </c:pt>
                <c:pt idx="12">
                  <c:v>Finland</c:v>
                </c:pt>
                <c:pt idx="13">
                  <c:v>Slovak Republic</c:v>
                </c:pt>
                <c:pt idx="14">
                  <c:v>Portugal</c:v>
                </c:pt>
                <c:pt idx="15">
                  <c:v>Bulgaria</c:v>
                </c:pt>
                <c:pt idx="16">
                  <c:v>Latvia</c:v>
                </c:pt>
                <c:pt idx="17">
                  <c:v>Switzerland</c:v>
                </c:pt>
                <c:pt idx="18">
                  <c:v>New Zealand</c:v>
                </c:pt>
                <c:pt idx="19">
                  <c:v>Slovenia</c:v>
                </c:pt>
                <c:pt idx="20">
                  <c:v>Spain</c:v>
                </c:pt>
                <c:pt idx="21">
                  <c:v>Lithuania</c:v>
                </c:pt>
                <c:pt idx="22">
                  <c:v>Canada</c:v>
                </c:pt>
                <c:pt idx="23">
                  <c:v>Australia</c:v>
                </c:pt>
                <c:pt idx="24">
                  <c:v>United Kingdom</c:v>
                </c:pt>
                <c:pt idx="25">
                  <c:v>France</c:v>
                </c:pt>
                <c:pt idx="26">
                  <c:v>Croatia</c:v>
                </c:pt>
                <c:pt idx="27">
                  <c:v>Poland</c:v>
                </c:pt>
                <c:pt idx="28">
                  <c:v>Norway</c:v>
                </c:pt>
                <c:pt idx="29">
                  <c:v>Italy </c:v>
                </c:pt>
                <c:pt idx="30">
                  <c:v>Germany</c:v>
                </c:pt>
                <c:pt idx="31">
                  <c:v>Greece</c:v>
                </c:pt>
                <c:pt idx="32">
                  <c:v>Romania</c:v>
                </c:pt>
                <c:pt idx="33">
                  <c:v>United States</c:v>
                </c:pt>
                <c:pt idx="34">
                  <c:v>Macedonia</c:v>
                </c:pt>
                <c:pt idx="35">
                  <c:v>Turkey</c:v>
                </c:pt>
                <c:pt idx="36">
                  <c:v>Japan</c:v>
                </c:pt>
              </c:strCache>
            </c:strRef>
          </c:cat>
          <c:val>
            <c:numRef>
              <c:f>English!$B$4:$B$40</c:f>
              <c:numCache>
                <c:formatCode>General</c:formatCode>
                <c:ptCount val="37"/>
                <c:pt idx="0">
                  <c:v>93.93</c:v>
                </c:pt>
                <c:pt idx="1">
                  <c:v>93.57</c:v>
                </c:pt>
                <c:pt idx="2">
                  <c:v>92.4</c:v>
                </c:pt>
                <c:pt idx="3">
                  <c:v>92.26</c:v>
                </c:pt>
                <c:pt idx="4">
                  <c:v>91.940000000000026</c:v>
                </c:pt>
                <c:pt idx="5">
                  <c:v>91.66</c:v>
                </c:pt>
                <c:pt idx="6">
                  <c:v>90.45</c:v>
                </c:pt>
                <c:pt idx="7">
                  <c:v>89.42</c:v>
                </c:pt>
                <c:pt idx="8">
                  <c:v>89.33</c:v>
                </c:pt>
                <c:pt idx="9">
                  <c:v>88.58</c:v>
                </c:pt>
                <c:pt idx="10">
                  <c:v>88.43</c:v>
                </c:pt>
                <c:pt idx="11">
                  <c:v>87.77</c:v>
                </c:pt>
                <c:pt idx="12">
                  <c:v>87.33</c:v>
                </c:pt>
                <c:pt idx="13">
                  <c:v>87.25</c:v>
                </c:pt>
                <c:pt idx="14">
                  <c:v>85.03</c:v>
                </c:pt>
                <c:pt idx="15">
                  <c:v>84.1</c:v>
                </c:pt>
                <c:pt idx="16">
                  <c:v>83.669999999999987</c:v>
                </c:pt>
                <c:pt idx="17">
                  <c:v>82.86999999999999</c:v>
                </c:pt>
                <c:pt idx="18">
                  <c:v>82.82</c:v>
                </c:pt>
                <c:pt idx="19">
                  <c:v>82.55</c:v>
                </c:pt>
                <c:pt idx="20">
                  <c:v>82.11</c:v>
                </c:pt>
                <c:pt idx="21">
                  <c:v>81.5</c:v>
                </c:pt>
                <c:pt idx="22">
                  <c:v>81.489999999999995</c:v>
                </c:pt>
                <c:pt idx="23">
                  <c:v>79.64</c:v>
                </c:pt>
                <c:pt idx="24">
                  <c:v>78.55</c:v>
                </c:pt>
                <c:pt idx="25">
                  <c:v>78.349999999999994</c:v>
                </c:pt>
                <c:pt idx="26">
                  <c:v>77.989999999999995</c:v>
                </c:pt>
                <c:pt idx="27">
                  <c:v>77.069999999999993</c:v>
                </c:pt>
                <c:pt idx="28">
                  <c:v>76.92</c:v>
                </c:pt>
                <c:pt idx="29">
                  <c:v>75.739999999999995</c:v>
                </c:pt>
                <c:pt idx="30">
                  <c:v>75.53</c:v>
                </c:pt>
                <c:pt idx="31">
                  <c:v>75.16</c:v>
                </c:pt>
                <c:pt idx="32">
                  <c:v>75.040000000000006</c:v>
                </c:pt>
                <c:pt idx="33">
                  <c:v>69.27</c:v>
                </c:pt>
                <c:pt idx="34">
                  <c:v>67.81</c:v>
                </c:pt>
                <c:pt idx="35">
                  <c:v>63.97</c:v>
                </c:pt>
                <c:pt idx="36">
                  <c:v>54.44</c:v>
                </c:pt>
              </c:numCache>
            </c:numRef>
          </c:val>
        </c:ser>
        <c:dLbls>
          <c:showLegendKey val="0"/>
          <c:showVal val="0"/>
          <c:showCatName val="0"/>
          <c:showSerName val="0"/>
          <c:showPercent val="0"/>
          <c:showBubbleSize val="0"/>
        </c:dLbls>
        <c:gapWidth val="150"/>
        <c:axId val="659643816"/>
        <c:axId val="659643032"/>
      </c:barChart>
      <c:catAx>
        <c:axId val="659643816"/>
        <c:scaling>
          <c:orientation val="minMax"/>
        </c:scaling>
        <c:delete val="0"/>
        <c:axPos val="b"/>
        <c:numFmt formatCode="General" sourceLinked="0"/>
        <c:majorTickMark val="out"/>
        <c:minorTickMark val="none"/>
        <c:tickLblPos val="nextTo"/>
        <c:txPr>
          <a:bodyPr/>
          <a:lstStyle/>
          <a:p>
            <a:pPr>
              <a:defRPr sz="900" baseline="0"/>
            </a:pPr>
            <a:endParaRPr lang="en-US"/>
          </a:p>
        </c:txPr>
        <c:crossAx val="659643032"/>
        <c:crosses val="autoZero"/>
        <c:auto val="1"/>
        <c:lblAlgn val="ctr"/>
        <c:lblOffset val="100"/>
        <c:noMultiLvlLbl val="0"/>
      </c:catAx>
      <c:valAx>
        <c:axId val="659643032"/>
        <c:scaling>
          <c:orientation val="minMax"/>
          <c:min val="50"/>
        </c:scaling>
        <c:delete val="0"/>
        <c:axPos val="l"/>
        <c:majorGridlines/>
        <c:numFmt formatCode="General" sourceLinked="1"/>
        <c:majorTickMark val="out"/>
        <c:minorTickMark val="none"/>
        <c:tickLblPos val="nextTo"/>
        <c:crossAx val="6596438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29D1-99F4-485F-8979-41E062B4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5634</Words>
  <Characters>29189</Characters>
  <Application>Microsoft Office Word</Application>
  <DocSecurity>0</DocSecurity>
  <Lines>399</Lines>
  <Paragraphs>52</Paragraphs>
  <ScaleCrop>false</ScaleCrop>
  <HeadingPairs>
    <vt:vector size="4" baseType="variant">
      <vt:variant>
        <vt:lpstr>Tytuł</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dc:creator>
  <cp:lastModifiedBy>Prokurat, Sergiusz (Sergio)</cp:lastModifiedBy>
  <cp:revision>5</cp:revision>
  <dcterms:created xsi:type="dcterms:W3CDTF">2016-07-13T20:04:00Z</dcterms:created>
  <dcterms:modified xsi:type="dcterms:W3CDTF">2016-09-28T06:17:00Z</dcterms:modified>
</cp:coreProperties>
</file>