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A6E" w:rsidRDefault="003E4A6E" w:rsidP="003E4A6E">
      <w:pPr>
        <w:jc w:val="right"/>
      </w:pPr>
      <w:bookmarkStart w:id="0" w:name="_GoBack"/>
      <w:bookmarkEnd w:id="0"/>
      <w:r>
        <w:t>Warszawa, 21 kwietnia 2016 r.</w:t>
      </w:r>
    </w:p>
    <w:p w:rsidR="003E4A6E" w:rsidRPr="003E4A6E" w:rsidRDefault="003E4A6E" w:rsidP="003E4A6E">
      <w:pPr>
        <w:spacing w:after="0"/>
        <w:rPr>
          <w:b/>
        </w:rPr>
      </w:pPr>
      <w:r w:rsidRPr="003E4A6E">
        <w:rPr>
          <w:b/>
        </w:rPr>
        <w:t>Katarzyna Gołębiowska</w:t>
      </w:r>
    </w:p>
    <w:p w:rsidR="003E4A6E" w:rsidRDefault="003E4A6E" w:rsidP="003E4A6E">
      <w:pPr>
        <w:spacing w:after="0"/>
      </w:pPr>
      <w:r>
        <w:t>Studia doktoranckie 2011-2015</w:t>
      </w:r>
    </w:p>
    <w:p w:rsidR="003E4A6E" w:rsidRDefault="003E4A6E" w:rsidP="003E4A6E">
      <w:pPr>
        <w:spacing w:after="0"/>
      </w:pPr>
      <w:r>
        <w:t xml:space="preserve">Instytut Nauk Ekonomicznych </w:t>
      </w:r>
    </w:p>
    <w:p w:rsidR="003E4A6E" w:rsidRDefault="003E4A6E" w:rsidP="003E4A6E">
      <w:pPr>
        <w:spacing w:after="0"/>
      </w:pPr>
      <w:r>
        <w:t>Polskiej Akademii Nauk</w:t>
      </w:r>
    </w:p>
    <w:p w:rsidR="003E4A6E" w:rsidRDefault="003E4A6E" w:rsidP="003E4A6E">
      <w:pPr>
        <w:spacing w:after="0"/>
      </w:pPr>
      <w:r>
        <w:t>Kierunek ekonomia</w:t>
      </w:r>
    </w:p>
    <w:p w:rsidR="003E4A6E" w:rsidRDefault="003E4A6E"/>
    <w:p w:rsidR="003E4A6E" w:rsidRDefault="003E4A6E" w:rsidP="003E4A6E">
      <w:pPr>
        <w:jc w:val="center"/>
        <w:rPr>
          <w:b/>
          <w:sz w:val="28"/>
          <w:szCs w:val="28"/>
        </w:rPr>
      </w:pPr>
    </w:p>
    <w:p w:rsidR="003E4A6E" w:rsidRPr="003E4A6E" w:rsidRDefault="003E4A6E" w:rsidP="003E4A6E">
      <w:pPr>
        <w:jc w:val="center"/>
        <w:rPr>
          <w:b/>
          <w:sz w:val="28"/>
          <w:szCs w:val="28"/>
        </w:rPr>
      </w:pPr>
      <w:r w:rsidRPr="003E4A6E">
        <w:rPr>
          <w:b/>
          <w:sz w:val="28"/>
          <w:szCs w:val="28"/>
        </w:rPr>
        <w:t>Akcyza specyficzne źródło dochodów państwa</w:t>
      </w:r>
    </w:p>
    <w:p w:rsidR="003E4A6E" w:rsidRDefault="003E4A6E" w:rsidP="003E4A6E">
      <w:pPr>
        <w:jc w:val="center"/>
      </w:pPr>
      <w:r>
        <w:t xml:space="preserve">Konspekt pracy doktorskiej przygotowywanej pod kierunkiem naukowym </w:t>
      </w:r>
    </w:p>
    <w:p w:rsidR="00D91916" w:rsidRDefault="003E4A6E" w:rsidP="003E4A6E">
      <w:pPr>
        <w:jc w:val="center"/>
      </w:pPr>
      <w:r>
        <w:t xml:space="preserve">prof. </w:t>
      </w:r>
      <w:r w:rsidR="00280954">
        <w:t>d</w:t>
      </w:r>
      <w:r>
        <w:t>r hab. Jerzego Kleera</w:t>
      </w:r>
    </w:p>
    <w:p w:rsidR="00280954" w:rsidRDefault="00280954" w:rsidP="003E4A6E">
      <w:pPr>
        <w:jc w:val="center"/>
      </w:pPr>
      <w:r>
        <w:t>Seminarium INE PAN – 21 kwiecień 2016 r.</w:t>
      </w:r>
    </w:p>
    <w:p w:rsidR="008F605B" w:rsidRDefault="008F605B" w:rsidP="008F605B">
      <w:pPr>
        <w:jc w:val="both"/>
      </w:pPr>
    </w:p>
    <w:p w:rsidR="008F605B" w:rsidRDefault="008F605B" w:rsidP="008F605B">
      <w:pPr>
        <w:jc w:val="both"/>
      </w:pPr>
      <w:r w:rsidRPr="0002090E">
        <w:rPr>
          <w:b/>
        </w:rPr>
        <w:t>Cel pracy</w:t>
      </w:r>
      <w:r>
        <w:t xml:space="preserve">: Celem pracy jest </w:t>
      </w:r>
      <w:r w:rsidR="0002090E" w:rsidRPr="0002090E">
        <w:t xml:space="preserve">próba </w:t>
      </w:r>
      <w:r w:rsidR="000976A5">
        <w:t>charakterystyki</w:t>
      </w:r>
      <w:r w:rsidR="0002090E" w:rsidRPr="0002090E">
        <w:t xml:space="preserve"> </w:t>
      </w:r>
      <w:r w:rsidR="0002090E">
        <w:t>podatku akcyzowego</w:t>
      </w:r>
      <w:r w:rsidR="0002090E" w:rsidRPr="0002090E">
        <w:t xml:space="preserve"> </w:t>
      </w:r>
      <w:r w:rsidR="0002090E">
        <w:t xml:space="preserve">z punktu widzenia jego </w:t>
      </w:r>
      <w:r w:rsidR="0002090E" w:rsidRPr="0002090E">
        <w:t>specyficzn</w:t>
      </w:r>
      <w:r w:rsidR="0002090E">
        <w:t>ych</w:t>
      </w:r>
      <w:r w:rsidR="003F5608">
        <w:t xml:space="preserve"> cech</w:t>
      </w:r>
      <w:r w:rsidR="0002090E">
        <w:t xml:space="preserve">, które mają wpływ </w:t>
      </w:r>
      <w:r w:rsidR="000976A5">
        <w:t xml:space="preserve">na </w:t>
      </w:r>
      <w:r w:rsidR="0002090E">
        <w:t>uzyskiwanie względnie stałych dochodów publicznych.</w:t>
      </w:r>
    </w:p>
    <w:p w:rsidR="000F3D33" w:rsidRDefault="000F3D33" w:rsidP="000F3D33">
      <w:pPr>
        <w:jc w:val="both"/>
      </w:pPr>
      <w:r w:rsidRPr="000F3D33">
        <w:rPr>
          <w:b/>
        </w:rPr>
        <w:t>Hipoteza główna</w:t>
      </w:r>
      <w:r>
        <w:t>: Podatek akcyzowy charakteryzuje się następującymi specyficznymi cechami:</w:t>
      </w:r>
    </w:p>
    <w:p w:rsidR="000F3D33" w:rsidRDefault="000F3D33" w:rsidP="000F3D33">
      <w:pPr>
        <w:pStyle w:val="Akapitzlist"/>
        <w:numPr>
          <w:ilvl w:val="0"/>
          <w:numId w:val="1"/>
        </w:numPr>
        <w:jc w:val="both"/>
      </w:pPr>
      <w:r>
        <w:t>łatwość podnoszenia i manipulowania nim przez ustawodawcę,</w:t>
      </w:r>
    </w:p>
    <w:p w:rsidR="000F3D33" w:rsidRDefault="000F3D33" w:rsidP="000F3D33">
      <w:pPr>
        <w:pStyle w:val="Akapitzlist"/>
        <w:numPr>
          <w:ilvl w:val="0"/>
          <w:numId w:val="1"/>
        </w:numPr>
        <w:jc w:val="both"/>
      </w:pPr>
      <w:r>
        <w:t>ograniczony grupowo charakter obciążenia,</w:t>
      </w:r>
    </w:p>
    <w:p w:rsidR="000F3D33" w:rsidRDefault="000F3D33" w:rsidP="000F3D33">
      <w:pPr>
        <w:pStyle w:val="Akapitzlist"/>
        <w:numPr>
          <w:ilvl w:val="0"/>
          <w:numId w:val="1"/>
        </w:numPr>
        <w:jc w:val="both"/>
      </w:pPr>
      <w:r>
        <w:t>dosyć duża akceptacja społeczna,</w:t>
      </w:r>
    </w:p>
    <w:p w:rsidR="000F3D33" w:rsidRDefault="000F3D33" w:rsidP="000F3D33">
      <w:pPr>
        <w:pStyle w:val="Akapitzlist"/>
        <w:numPr>
          <w:ilvl w:val="0"/>
          <w:numId w:val="1"/>
        </w:numPr>
        <w:jc w:val="both"/>
      </w:pPr>
      <w:r>
        <w:t>niska wizualność społeczna skutków jego wzrostu.</w:t>
      </w:r>
    </w:p>
    <w:p w:rsidR="000F3D33" w:rsidRDefault="000F3D33" w:rsidP="000F3D33">
      <w:pPr>
        <w:jc w:val="both"/>
      </w:pPr>
      <w:r w:rsidRPr="000F3D33">
        <w:rPr>
          <w:b/>
        </w:rPr>
        <w:t>Hipoteza pomocnicza</w:t>
      </w:r>
      <w:r>
        <w:t>: Specyficzne cechy podatku akcyzowego dają dużą gwarancję wpływu środków do budżetu państwa.</w:t>
      </w:r>
    </w:p>
    <w:p w:rsidR="0074168B" w:rsidRDefault="0074168B" w:rsidP="000F3D33">
      <w:pPr>
        <w:jc w:val="both"/>
      </w:pPr>
    </w:p>
    <w:p w:rsidR="00442406" w:rsidRDefault="00A663E7" w:rsidP="00442406">
      <w:pPr>
        <w:spacing w:line="360" w:lineRule="auto"/>
        <w:ind w:firstLine="708"/>
        <w:jc w:val="both"/>
        <w:rPr>
          <w:lang w:eastAsia="ar-SA"/>
        </w:rPr>
      </w:pPr>
      <w:r w:rsidRPr="00A663E7">
        <w:t xml:space="preserve">Podatek akcyzowy ma bardzo długą historię, znany był już w starożytności, w swej zasadniczej konstrukcji pozostał niezmieniony do dziś. Określenia podatki akcyzowe, akcyza odnoszą się do selektywnych podatków nakładanych na dobra i usługi, znajdujących się wśród najstarszych form opodatkowania na świecie. </w:t>
      </w:r>
      <w:r>
        <w:t xml:space="preserve">Obecność akcyzy w systemach podatkowych od starożytności wskazuje, że jest to podatek bardzo dobrze poznany, łatwo jest wskazać jego główne cechy. </w:t>
      </w:r>
      <w:r w:rsidR="00442406">
        <w:t>W </w:t>
      </w:r>
      <w:r>
        <w:t>literaturze wskazuje się, że cechy te to powszechność wyrobów, na które nakładana jest akcyza, łatwość nałożenia, możliwość ukrycia w cenie wyrobu, pewność i stabilność państwowego dochodu</w:t>
      </w:r>
      <w:r>
        <w:rPr>
          <w:rStyle w:val="Odwoanieprzypisudolnego1"/>
        </w:rPr>
        <w:footnoteReference w:id="1"/>
      </w:r>
      <w:r w:rsidR="00D8365F">
        <w:t xml:space="preserve">. </w:t>
      </w:r>
      <w:r w:rsidR="00442406">
        <w:rPr>
          <w:lang w:eastAsia="ar-SA"/>
        </w:rPr>
        <w:t xml:space="preserve">Z kolei według szerokiego ujęcia definicyjnego S. Cnossena cechy wyróżniające akcyzę to: </w:t>
      </w:r>
      <w:r w:rsidR="00442406">
        <w:rPr>
          <w:lang w:eastAsia="ar-SA"/>
        </w:rPr>
        <w:lastRenderedPageBreak/>
        <w:t>selektywność, dyskryminacja, wybrane formy ilościowego pomiaru w ustalaniu obowiązku podatkowego</w:t>
      </w:r>
      <w:r w:rsidR="00442406">
        <w:rPr>
          <w:rStyle w:val="Odwoanieprzypisudolnego"/>
          <w:lang w:eastAsia="ar-SA"/>
        </w:rPr>
        <w:footnoteReference w:id="2"/>
      </w:r>
      <w:r w:rsidR="00442406">
        <w:rPr>
          <w:lang w:eastAsia="ar-SA"/>
        </w:rPr>
        <w:t xml:space="preserve">. </w:t>
      </w:r>
    </w:p>
    <w:p w:rsidR="00442406" w:rsidRDefault="00442406" w:rsidP="00442406">
      <w:pPr>
        <w:spacing w:line="360" w:lineRule="auto"/>
        <w:ind w:firstLine="708"/>
        <w:jc w:val="both"/>
        <w:rPr>
          <w:lang w:eastAsia="ar-SA"/>
        </w:rPr>
      </w:pPr>
      <w:r w:rsidRPr="00442406">
        <w:rPr>
          <w:lang w:eastAsia="ar-SA"/>
        </w:rPr>
        <w:t xml:space="preserve">Biorąc pod uwagę historię akcyzy wydaje się, że jest to </w:t>
      </w:r>
      <w:r w:rsidR="00EB1D00">
        <w:rPr>
          <w:lang w:eastAsia="ar-SA"/>
        </w:rPr>
        <w:t>podatek bardzo dobrze poznany i </w:t>
      </w:r>
      <w:r w:rsidRPr="00442406">
        <w:rPr>
          <w:lang w:eastAsia="ar-SA"/>
        </w:rPr>
        <w:t xml:space="preserve">scharakteryzowany. </w:t>
      </w:r>
      <w:r>
        <w:rPr>
          <w:lang w:eastAsia="ar-SA"/>
        </w:rPr>
        <w:t>Praktyka pokazuje, że</w:t>
      </w:r>
      <w:r w:rsidRPr="00442406">
        <w:rPr>
          <w:lang w:eastAsia="ar-SA"/>
        </w:rPr>
        <w:t xml:space="preserve"> podatek akcyzowy jest z jednej strony traktowany jako podatek mało skomplikowany, by nie powiedzieć mało ciekawy,</w:t>
      </w:r>
      <w:r>
        <w:rPr>
          <w:lang w:eastAsia="ar-SA"/>
        </w:rPr>
        <w:t xml:space="preserve"> z pewnością</w:t>
      </w:r>
      <w:r w:rsidR="00EB1D00">
        <w:rPr>
          <w:lang w:eastAsia="ar-SA"/>
        </w:rPr>
        <w:t xml:space="preserve"> nie jest spektakularny, a </w:t>
      </w:r>
      <w:r w:rsidRPr="00442406">
        <w:rPr>
          <w:lang w:eastAsia="ar-SA"/>
        </w:rPr>
        <w:t>z drugiej strony jest relatywnie łatwym i relatywnie często wskazywanym</w:t>
      </w:r>
      <w:r w:rsidR="00EB1D00">
        <w:rPr>
          <w:lang w:eastAsia="ar-SA"/>
        </w:rPr>
        <w:t xml:space="preserve"> </w:t>
      </w:r>
      <w:r w:rsidRPr="00442406">
        <w:rPr>
          <w:lang w:eastAsia="ar-SA"/>
        </w:rPr>
        <w:t xml:space="preserve">i wykorzystywanym narzędziem do zmian w celu uzyskania pożądanego efektu fiskalnego, jakim jest uzyskanie wyższych, czy też dodatkowych dochodów budżetowych. Na tym tle w swojej pracy chciałabym ukazać, na nowo zdefiniować specyficzne cechy podatku akcyzowego, które </w:t>
      </w:r>
      <w:r>
        <w:rPr>
          <w:lang w:eastAsia="ar-SA"/>
        </w:rPr>
        <w:t>dają</w:t>
      </w:r>
      <w:r w:rsidRPr="00442406">
        <w:rPr>
          <w:lang w:eastAsia="ar-SA"/>
        </w:rPr>
        <w:t xml:space="preserve"> względnie dużą gwarancję uzyskiwania </w:t>
      </w:r>
      <w:r>
        <w:rPr>
          <w:lang w:eastAsia="ar-SA"/>
        </w:rPr>
        <w:t>znaczących</w:t>
      </w:r>
      <w:r w:rsidRPr="00442406">
        <w:rPr>
          <w:lang w:eastAsia="ar-SA"/>
        </w:rPr>
        <w:t xml:space="preserve"> wpływów do budżetu państwa.</w:t>
      </w:r>
    </w:p>
    <w:p w:rsidR="002636D2" w:rsidRDefault="002636D2" w:rsidP="00442406">
      <w:pPr>
        <w:spacing w:line="360" w:lineRule="auto"/>
        <w:ind w:firstLine="708"/>
        <w:jc w:val="both"/>
        <w:rPr>
          <w:lang w:eastAsia="ar-SA"/>
        </w:rPr>
      </w:pPr>
      <w:r>
        <w:rPr>
          <w:lang w:eastAsia="ar-SA"/>
        </w:rPr>
        <w:t>Praca składa się z siedmiu rozdziałów.</w:t>
      </w:r>
    </w:p>
    <w:p w:rsidR="00C741E4" w:rsidRPr="00C741E4" w:rsidRDefault="00C741E4" w:rsidP="00C741E4">
      <w:pPr>
        <w:jc w:val="both"/>
        <w:rPr>
          <w:lang w:eastAsia="ar-SA"/>
        </w:rPr>
      </w:pPr>
      <w:r w:rsidRPr="00C741E4">
        <w:rPr>
          <w:lang w:eastAsia="ar-SA"/>
        </w:rPr>
        <w:t>SPIS TREŚCI</w:t>
      </w:r>
    </w:p>
    <w:p w:rsidR="00C741E4" w:rsidRPr="00C741E4" w:rsidRDefault="00C741E4" w:rsidP="00C741E4">
      <w:pPr>
        <w:jc w:val="both"/>
        <w:rPr>
          <w:lang w:eastAsia="ar-SA"/>
        </w:rPr>
      </w:pPr>
      <w:r w:rsidRPr="00C741E4">
        <w:rPr>
          <w:lang w:eastAsia="ar-SA"/>
        </w:rPr>
        <w:t>Wstęp</w:t>
      </w:r>
    </w:p>
    <w:p w:rsidR="00C741E4" w:rsidRPr="00C741E4" w:rsidRDefault="00C741E4" w:rsidP="00C741E4">
      <w:pPr>
        <w:pStyle w:val="Akapitzlist"/>
        <w:numPr>
          <w:ilvl w:val="0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Sektor publiczny trwałym składnikiem suwerennego państwa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rPr>
          <w:lang w:eastAsia="ar-SA"/>
        </w:rPr>
      </w:pPr>
      <w:r w:rsidRPr="00C741E4">
        <w:rPr>
          <w:lang w:eastAsia="ar-SA"/>
        </w:rPr>
        <w:t>Spór o rolę państwa w gospodarce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Sektor publiczny we współczesnej gospodarce rynkowej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Statystyka i pomiar sektora publicznego</w:t>
      </w:r>
    </w:p>
    <w:p w:rsidR="00C741E4" w:rsidRPr="00C741E4" w:rsidRDefault="00C741E4" w:rsidP="00C741E4">
      <w:pPr>
        <w:pStyle w:val="Akapitzlist"/>
        <w:numPr>
          <w:ilvl w:val="0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Sektor publiczny: dochody i wydatki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Źródła i struktura dochodów oraz cele i struktura wydatków</w:t>
      </w:r>
      <w:r w:rsidR="00EB1D00">
        <w:rPr>
          <w:lang w:eastAsia="ar-SA"/>
        </w:rPr>
        <w:t xml:space="preserve"> sektora instytucji rządowych i </w:t>
      </w:r>
      <w:r w:rsidRPr="00C741E4">
        <w:rPr>
          <w:lang w:eastAsia="ar-SA"/>
        </w:rPr>
        <w:t xml:space="preserve">samorządowych w Unii Europejskiej 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 xml:space="preserve">Obciążenia podatkowe sektora instytucji rządowych i samorządowych w Unii Europejskiej 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Cele wydatków sektora instytucji rządowych i samorządowych w Unii Europejskiej</w:t>
      </w:r>
    </w:p>
    <w:p w:rsidR="00C741E4" w:rsidRPr="00C741E4" w:rsidRDefault="00C741E4" w:rsidP="00C741E4">
      <w:pPr>
        <w:pStyle w:val="Akapitzlist"/>
        <w:numPr>
          <w:ilvl w:val="0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Struktura wydatków sektora publicznego w państwach Unii Europejskiej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Ochrona socjalna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Ochrona zdrowia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Działalność ogólnopaństwowa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Edukacja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Cele gospodarcze</w:t>
      </w:r>
    </w:p>
    <w:p w:rsidR="00C741E4" w:rsidRPr="00C741E4" w:rsidRDefault="00C741E4" w:rsidP="00C741E4">
      <w:pPr>
        <w:pStyle w:val="Akapitzlist"/>
        <w:numPr>
          <w:ilvl w:val="0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Teoria podatku akcyzowego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Ogólne teorie podatkowe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Teoria podatku akcyzowego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Akcyza w dochodach sektora publicznego w Polsce</w:t>
      </w:r>
    </w:p>
    <w:p w:rsidR="00C741E4" w:rsidRPr="00C741E4" w:rsidRDefault="00C741E4" w:rsidP="00C741E4">
      <w:pPr>
        <w:pStyle w:val="Akapitzlist"/>
        <w:numPr>
          <w:ilvl w:val="2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 xml:space="preserve"> Akcyza w okresie od XV w. do transformacji systemowej</w:t>
      </w:r>
    </w:p>
    <w:p w:rsidR="00C741E4" w:rsidRPr="00C741E4" w:rsidRDefault="00C741E4" w:rsidP="00C741E4">
      <w:pPr>
        <w:pStyle w:val="Akapitzlist"/>
        <w:numPr>
          <w:ilvl w:val="2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 xml:space="preserve"> Akcyza po transformacji systemowej</w:t>
      </w:r>
    </w:p>
    <w:p w:rsidR="00C741E4" w:rsidRPr="00C741E4" w:rsidRDefault="00C741E4" w:rsidP="00C741E4">
      <w:pPr>
        <w:pStyle w:val="Akapitzlist"/>
        <w:numPr>
          <w:ilvl w:val="0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Dynamika wzrostu podatku akcyzowego w Polsce i krajach postsocjalistycznych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Dochody sektora instytucji rządowych i samorządowych z podatku akcyzowego ogółem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Krajowa struktura wpływów sektora instytucji rządowych i samorządowych z podatku akcyzowego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Struktura wpływów sektora instytucji rządowych i samor</w:t>
      </w:r>
      <w:r w:rsidR="00DD2AEB">
        <w:rPr>
          <w:lang w:eastAsia="ar-SA"/>
        </w:rPr>
        <w:t>ządowych z podatku akcyzowego w </w:t>
      </w:r>
      <w:r w:rsidRPr="00C741E4">
        <w:rPr>
          <w:lang w:eastAsia="ar-SA"/>
        </w:rPr>
        <w:t>Unii Europejskiej (według metodologii ESA)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Dochody budżetu państwa z podatku akcyzowego w Polsce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Wizualność a zmiany wysokości obciążenia akcyzą</w:t>
      </w:r>
    </w:p>
    <w:p w:rsidR="00C741E4" w:rsidRPr="00C741E4" w:rsidRDefault="00C741E4" w:rsidP="00C741E4">
      <w:pPr>
        <w:pStyle w:val="Akapitzlist"/>
        <w:numPr>
          <w:ilvl w:val="0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Przeznaczenie (wykorzystanie) dochodów sektora publicznego z podatku akcyzowego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Akcyza a poszczególne cele wydatkowe według funkcji (COFOG)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Akcyza a wydatki na działalność badawczo-rozwojową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Akcyza a wydatki na infrastrukturę drogową w Polsce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Wizualność akcyzy poprzez pryzmat struktury dochodów podatkowych budż</w:t>
      </w:r>
      <w:r w:rsidR="00DD2AEB">
        <w:rPr>
          <w:lang w:eastAsia="ar-SA"/>
        </w:rPr>
        <w:t>etu państwa w </w:t>
      </w:r>
      <w:r w:rsidRPr="00C741E4">
        <w:rPr>
          <w:lang w:eastAsia="ar-SA"/>
        </w:rPr>
        <w:t>Polsce</w:t>
      </w:r>
    </w:p>
    <w:p w:rsidR="00C741E4" w:rsidRPr="00C741E4" w:rsidRDefault="00C741E4" w:rsidP="00C741E4">
      <w:pPr>
        <w:pStyle w:val="Akapitzlist"/>
        <w:numPr>
          <w:ilvl w:val="0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Czy istnieją teoretyczne i praktyczne granice wzrostu podatku akcyzowego?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Teoretyczne granice opodatkowania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Dochody budżetu państwa a zmiany stawek akcyzy</w:t>
      </w:r>
    </w:p>
    <w:p w:rsidR="00C741E4" w:rsidRPr="00C741E4" w:rsidRDefault="00C741E4" w:rsidP="00C741E4">
      <w:pPr>
        <w:pStyle w:val="Akapitzlist"/>
        <w:numPr>
          <w:ilvl w:val="2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Wyroby tytoniowe</w:t>
      </w:r>
    </w:p>
    <w:p w:rsidR="00C741E4" w:rsidRPr="00C741E4" w:rsidRDefault="00C741E4" w:rsidP="00C741E4">
      <w:pPr>
        <w:pStyle w:val="Akapitzlist"/>
        <w:numPr>
          <w:ilvl w:val="2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Paliwa silnikowe</w:t>
      </w:r>
    </w:p>
    <w:p w:rsidR="00C741E4" w:rsidRPr="00C741E4" w:rsidRDefault="00C741E4" w:rsidP="00C741E4">
      <w:pPr>
        <w:pStyle w:val="Akapitzlist"/>
        <w:numPr>
          <w:ilvl w:val="2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>Alkohol etylowy</w:t>
      </w:r>
    </w:p>
    <w:p w:rsidR="00C741E4" w:rsidRPr="00C741E4" w:rsidRDefault="00C741E4" w:rsidP="00C741E4">
      <w:pPr>
        <w:pStyle w:val="Akapitzlist"/>
        <w:numPr>
          <w:ilvl w:val="1"/>
          <w:numId w:val="2"/>
        </w:numPr>
        <w:spacing w:line="360" w:lineRule="auto"/>
        <w:jc w:val="both"/>
        <w:rPr>
          <w:lang w:eastAsia="ar-SA"/>
        </w:rPr>
      </w:pPr>
      <w:r w:rsidRPr="00C741E4">
        <w:rPr>
          <w:lang w:eastAsia="ar-SA"/>
        </w:rPr>
        <w:t xml:space="preserve">Szara strefa </w:t>
      </w:r>
    </w:p>
    <w:p w:rsidR="00C741E4" w:rsidRPr="00C741E4" w:rsidRDefault="00C741E4" w:rsidP="00C741E4">
      <w:pPr>
        <w:spacing w:after="0" w:line="360" w:lineRule="auto"/>
        <w:jc w:val="both"/>
        <w:rPr>
          <w:lang w:eastAsia="ar-SA"/>
        </w:rPr>
      </w:pPr>
      <w:r w:rsidRPr="00C741E4">
        <w:rPr>
          <w:lang w:eastAsia="ar-SA"/>
        </w:rPr>
        <w:t>Zakończenie</w:t>
      </w:r>
    </w:p>
    <w:p w:rsidR="00C741E4" w:rsidRPr="00C741E4" w:rsidRDefault="00C741E4" w:rsidP="00C741E4">
      <w:pPr>
        <w:spacing w:after="0" w:line="360" w:lineRule="auto"/>
        <w:jc w:val="both"/>
        <w:rPr>
          <w:lang w:eastAsia="ar-SA"/>
        </w:rPr>
      </w:pPr>
      <w:r w:rsidRPr="00C741E4">
        <w:rPr>
          <w:lang w:eastAsia="ar-SA"/>
        </w:rPr>
        <w:t>Bibliografia</w:t>
      </w:r>
    </w:p>
    <w:p w:rsidR="00C741E4" w:rsidRPr="00C741E4" w:rsidRDefault="00C741E4" w:rsidP="00C741E4">
      <w:pPr>
        <w:spacing w:after="0" w:line="360" w:lineRule="auto"/>
        <w:jc w:val="both"/>
        <w:rPr>
          <w:lang w:eastAsia="ar-SA"/>
        </w:rPr>
      </w:pPr>
      <w:r w:rsidRPr="00C741E4">
        <w:rPr>
          <w:lang w:eastAsia="ar-SA"/>
        </w:rPr>
        <w:t>Akty prawne</w:t>
      </w:r>
    </w:p>
    <w:p w:rsidR="00C741E4" w:rsidRPr="00C741E4" w:rsidRDefault="00C741E4" w:rsidP="00C741E4">
      <w:pPr>
        <w:spacing w:after="0" w:line="360" w:lineRule="auto"/>
        <w:jc w:val="both"/>
        <w:rPr>
          <w:lang w:eastAsia="ar-SA"/>
        </w:rPr>
      </w:pPr>
      <w:r w:rsidRPr="00C741E4">
        <w:rPr>
          <w:lang w:eastAsia="ar-SA"/>
        </w:rPr>
        <w:t>Wykaz tabel</w:t>
      </w:r>
    </w:p>
    <w:p w:rsidR="00C741E4" w:rsidRPr="00C741E4" w:rsidRDefault="00C741E4" w:rsidP="00C741E4">
      <w:pPr>
        <w:spacing w:after="0" w:line="360" w:lineRule="auto"/>
        <w:jc w:val="both"/>
        <w:rPr>
          <w:lang w:eastAsia="ar-SA"/>
        </w:rPr>
      </w:pPr>
      <w:r w:rsidRPr="00C741E4">
        <w:rPr>
          <w:lang w:eastAsia="ar-SA"/>
        </w:rPr>
        <w:t>Wykaz rysunków</w:t>
      </w:r>
    </w:p>
    <w:p w:rsidR="00C741E4" w:rsidRPr="00C741E4" w:rsidRDefault="00C741E4" w:rsidP="00C741E4">
      <w:pPr>
        <w:spacing w:after="0" w:line="360" w:lineRule="auto"/>
        <w:jc w:val="both"/>
        <w:rPr>
          <w:lang w:eastAsia="ar-SA"/>
        </w:rPr>
      </w:pPr>
      <w:r w:rsidRPr="00C741E4">
        <w:rPr>
          <w:lang w:eastAsia="ar-SA"/>
        </w:rPr>
        <w:t>Aneks do rozdziału 1</w:t>
      </w:r>
    </w:p>
    <w:p w:rsidR="00C741E4" w:rsidRPr="00C741E4" w:rsidRDefault="00C741E4" w:rsidP="00C741E4">
      <w:pPr>
        <w:spacing w:after="0" w:line="360" w:lineRule="auto"/>
        <w:jc w:val="both"/>
        <w:rPr>
          <w:lang w:eastAsia="ar-SA"/>
        </w:rPr>
      </w:pPr>
      <w:r w:rsidRPr="00C741E4">
        <w:rPr>
          <w:lang w:eastAsia="ar-SA"/>
        </w:rPr>
        <w:t>Aneks do rozdziału 2</w:t>
      </w:r>
    </w:p>
    <w:p w:rsidR="00C741E4" w:rsidRPr="00C741E4" w:rsidRDefault="00C741E4" w:rsidP="00C741E4">
      <w:pPr>
        <w:spacing w:after="0" w:line="360" w:lineRule="auto"/>
        <w:jc w:val="both"/>
        <w:rPr>
          <w:lang w:eastAsia="ar-SA"/>
        </w:rPr>
      </w:pPr>
      <w:r w:rsidRPr="00C741E4">
        <w:rPr>
          <w:lang w:eastAsia="ar-SA"/>
        </w:rPr>
        <w:t>Aneks do rozdziału 4 (stawki akcyzy)</w:t>
      </w:r>
    </w:p>
    <w:p w:rsidR="00C741E4" w:rsidRDefault="00C741E4" w:rsidP="00C741E4">
      <w:pPr>
        <w:spacing w:line="360" w:lineRule="auto"/>
        <w:jc w:val="both"/>
        <w:rPr>
          <w:lang w:eastAsia="ar-SA"/>
        </w:rPr>
      </w:pPr>
    </w:p>
    <w:p w:rsidR="00A663E7" w:rsidRDefault="00A663E7" w:rsidP="00A663E7">
      <w:pPr>
        <w:jc w:val="both"/>
      </w:pPr>
    </w:p>
    <w:p w:rsidR="00A663E7" w:rsidRDefault="00CF14E5" w:rsidP="00CF14E5">
      <w:pPr>
        <w:jc w:val="both"/>
      </w:pPr>
      <w:r>
        <w:tab/>
        <w:t xml:space="preserve">Pierwszy rozdział przedstawia nierozstrzygniętą </w:t>
      </w:r>
      <w:r w:rsidR="00916109">
        <w:t xml:space="preserve">do końca </w:t>
      </w:r>
      <w:r>
        <w:t>rolę państwa</w:t>
      </w:r>
      <w:r w:rsidR="000443FF">
        <w:t>,</w:t>
      </w:r>
      <w:r w:rsidR="00916109">
        <w:t xml:space="preserve"> a</w:t>
      </w:r>
      <w:r w:rsidR="000443FF">
        <w:t xml:space="preserve"> w szczególności</w:t>
      </w:r>
      <w:r>
        <w:t xml:space="preserve"> </w:t>
      </w:r>
      <w:r w:rsidR="000443FF" w:rsidRPr="000443FF">
        <w:t>wyraźny spór od lat 30. XX w.</w:t>
      </w:r>
      <w:r w:rsidR="000443FF">
        <w:t xml:space="preserve"> dwóch stron</w:t>
      </w:r>
      <w:r w:rsidR="00491C91">
        <w:t xml:space="preserve"> </w:t>
      </w:r>
      <w:r w:rsidR="000443FF" w:rsidRPr="000443FF">
        <w:t>– keynesowsk</w:t>
      </w:r>
      <w:r w:rsidR="00491C91">
        <w:t>iej</w:t>
      </w:r>
      <w:r w:rsidR="000443FF" w:rsidRPr="000443FF">
        <w:t xml:space="preserve"> (interwencjonistyczn</w:t>
      </w:r>
      <w:r w:rsidR="00491C91">
        <w:t>ej</w:t>
      </w:r>
      <w:r w:rsidR="000443FF" w:rsidRPr="000443FF">
        <w:t>) i liberaln</w:t>
      </w:r>
      <w:r w:rsidR="00491C91">
        <w:t>ej</w:t>
      </w:r>
      <w:r w:rsidR="000443FF" w:rsidRPr="000443FF">
        <w:t xml:space="preserve"> (liberalizm klasyczny, ordoliberalizm, neoliberalizm).</w:t>
      </w:r>
      <w:r>
        <w:t xml:space="preserve"> </w:t>
      </w:r>
      <w:r w:rsidR="0040474E">
        <w:t xml:space="preserve">Ponadto </w:t>
      </w:r>
      <w:r w:rsidR="0040474E" w:rsidRPr="0040474E">
        <w:t>scharakteryzowano</w:t>
      </w:r>
      <w:r w:rsidR="00D8365F">
        <w:t xml:space="preserve"> w nim</w:t>
      </w:r>
      <w:r w:rsidR="0040474E" w:rsidRPr="0040474E">
        <w:t xml:space="preserve"> sektor publiczny we współczesnej gospodarce rynkowej</w:t>
      </w:r>
      <w:r w:rsidR="0040474E">
        <w:t>.</w:t>
      </w:r>
    </w:p>
    <w:p w:rsidR="0040474E" w:rsidRPr="00EC4D17" w:rsidRDefault="0040474E" w:rsidP="00CF14E5">
      <w:pPr>
        <w:jc w:val="both"/>
      </w:pPr>
      <w:r>
        <w:tab/>
      </w:r>
      <w:r w:rsidR="00A00730">
        <w:t>R</w:t>
      </w:r>
      <w:r w:rsidR="00A00730" w:rsidRPr="00A00730">
        <w:t>ozdział drugi zawiera ogólną charakterystyką dochodów i wydatków sektora instyt</w:t>
      </w:r>
      <w:r w:rsidR="00A00730">
        <w:t>ucji rządowych i samorządowych</w:t>
      </w:r>
      <w:r w:rsidR="002E79F6">
        <w:t xml:space="preserve"> w UE</w:t>
      </w:r>
      <w:r w:rsidR="00A00730">
        <w:t>, natomiast r</w:t>
      </w:r>
      <w:r w:rsidR="00A00730" w:rsidRPr="00A00730">
        <w:t>ozdział trzeci zawiera szczegółową charakterystykę poszczególnych celów wydatkowych</w:t>
      </w:r>
      <w:r w:rsidR="00A00730">
        <w:t xml:space="preserve"> według funkcji (COFOG)</w:t>
      </w:r>
      <w:r w:rsidR="002E79F6">
        <w:t xml:space="preserve"> w UE</w:t>
      </w:r>
      <w:r w:rsidR="00A00730" w:rsidRPr="00A00730">
        <w:t>. W tej części pracy zwrócono szczególną uwagę na problemy</w:t>
      </w:r>
      <w:r w:rsidR="00EC4D17">
        <w:t xml:space="preserve"> / zjawiska</w:t>
      </w:r>
      <w:r w:rsidR="00A00730" w:rsidRPr="00A00730">
        <w:t xml:space="preserve">, </w:t>
      </w:r>
      <w:r w:rsidR="00EC4D17">
        <w:t>jakie dotyczą</w:t>
      </w:r>
      <w:r w:rsidR="00A00730" w:rsidRPr="00A00730">
        <w:t xml:space="preserve"> współczesn</w:t>
      </w:r>
      <w:r w:rsidR="00EC4D17">
        <w:t>ych</w:t>
      </w:r>
      <w:r w:rsidR="00A00730" w:rsidRPr="00A00730">
        <w:t xml:space="preserve"> państw</w:t>
      </w:r>
      <w:r w:rsidR="000860D2">
        <w:t xml:space="preserve"> </w:t>
      </w:r>
      <w:r w:rsidR="000860D2" w:rsidRPr="00EC4D17">
        <w:t>(</w:t>
      </w:r>
      <w:r w:rsidR="00EC4D17" w:rsidRPr="00EC4D17">
        <w:t>globalizacja, finansyzacja, gospodarka oparta na wiedzy, przesilenia cywilizacyjne,</w:t>
      </w:r>
      <w:r w:rsidR="00DD2AEB">
        <w:t xml:space="preserve"> zagrożenia w skali globalnej i </w:t>
      </w:r>
      <w:r w:rsidR="00916109">
        <w:t>regionalnej</w:t>
      </w:r>
      <w:r w:rsidR="00EC4D17" w:rsidRPr="00EC4D17">
        <w:t>).</w:t>
      </w:r>
    </w:p>
    <w:p w:rsidR="000750EB" w:rsidRDefault="000750EB" w:rsidP="00CF14E5">
      <w:pPr>
        <w:jc w:val="both"/>
      </w:pPr>
      <w:r>
        <w:tab/>
        <w:t>Rozważania teoretyczne dotyczące sporu o rolę państwa w gospodarce oraz charakterystyka dynamiki zmian dochodów i wydatków sektora instytucji rządowych i samorządowych</w:t>
      </w:r>
      <w:r w:rsidR="00DD2AEB">
        <w:t xml:space="preserve"> i </w:t>
      </w:r>
      <w:r w:rsidR="002E79F6">
        <w:t xml:space="preserve">charakterystyka poszczególnych celów wydatkowych (zadań finansowanych  </w:t>
      </w:r>
      <w:r>
        <w:t xml:space="preserve"> stanowią punkt wyjścia </w:t>
      </w:r>
      <w:r w:rsidR="00B51C50">
        <w:t>rozprawy</w:t>
      </w:r>
      <w:r w:rsidR="00332DF7">
        <w:t xml:space="preserve"> doktorskiej.</w:t>
      </w:r>
    </w:p>
    <w:p w:rsidR="00421F62" w:rsidRDefault="00421F62" w:rsidP="00D8365F">
      <w:pPr>
        <w:ind w:firstLine="708"/>
        <w:jc w:val="both"/>
      </w:pPr>
      <w:r>
        <w:t>Rozdział</w:t>
      </w:r>
      <w:r w:rsidR="00D8365F">
        <w:t xml:space="preserve"> czwarty zawiera kwestie teoretyczne dotyczące</w:t>
      </w:r>
      <w:r>
        <w:t xml:space="preserve"> </w:t>
      </w:r>
      <w:r w:rsidR="00D8365F">
        <w:t>podatku akcyzowego. P</w:t>
      </w:r>
      <w:r w:rsidRPr="00421F62">
        <w:t>rzedstawiono w nim</w:t>
      </w:r>
      <w:r w:rsidR="00D8365F">
        <w:t xml:space="preserve"> również</w:t>
      </w:r>
      <w:r w:rsidRPr="00421F62">
        <w:t xml:space="preserve"> charakterystykę podatku akcyzowego</w:t>
      </w:r>
      <w:r w:rsidR="00514984">
        <w:t xml:space="preserve"> w doświadczeniach Polski od XV </w:t>
      </w:r>
      <w:r w:rsidRPr="00421F62">
        <w:t>w., poprzez transformację systemową, aż do uwarunkowań wynikających z wejścia Polski do Unii E</w:t>
      </w:r>
      <w:r w:rsidR="00B51C50">
        <w:t>uropejskiej. W rozdziale pokazany</w:t>
      </w:r>
      <w:r w:rsidRPr="00421F62">
        <w:t xml:space="preserve"> został także </w:t>
      </w:r>
      <w:r w:rsidR="00B51C50">
        <w:t xml:space="preserve">udział akcyzy w </w:t>
      </w:r>
      <w:r w:rsidRPr="00421F62">
        <w:t>cen</w:t>
      </w:r>
      <w:r w:rsidR="00B51C50">
        <w:t>ie</w:t>
      </w:r>
      <w:r w:rsidRPr="00421F62">
        <w:t xml:space="preserve"> poszczególnych wyrobów akcyzowych w Polsce, co ma na celu unaocznienie wielkości obciążenia akcyzowego w cenie danego produktu.</w:t>
      </w:r>
    </w:p>
    <w:p w:rsidR="000750EB" w:rsidRDefault="000750EB" w:rsidP="00CF14E5">
      <w:pPr>
        <w:jc w:val="both"/>
      </w:pPr>
      <w:r>
        <w:tab/>
        <w:t>Rozdziały pi</w:t>
      </w:r>
      <w:r w:rsidR="00B51C50">
        <w:t>ąty</w:t>
      </w:r>
      <w:r>
        <w:t xml:space="preserve"> i s</w:t>
      </w:r>
      <w:r w:rsidR="00B51C50">
        <w:t>zósty</w:t>
      </w:r>
      <w:r>
        <w:t xml:space="preserve"> s</w:t>
      </w:r>
      <w:r w:rsidR="00B51C50">
        <w:t>tanowią</w:t>
      </w:r>
      <w:r>
        <w:t xml:space="preserve"> prób</w:t>
      </w:r>
      <w:r w:rsidR="00B51C50">
        <w:t>ę</w:t>
      </w:r>
      <w:r>
        <w:t xml:space="preserve"> charakterystyki cech podat</w:t>
      </w:r>
      <w:r w:rsidR="00BB399D">
        <w:t>ku akcyzowego przedstawionych w</w:t>
      </w:r>
      <w:r w:rsidR="00B51C50">
        <w:t xml:space="preserve"> głównej </w:t>
      </w:r>
      <w:r>
        <w:t xml:space="preserve">hipotezie </w:t>
      </w:r>
      <w:r w:rsidR="00B51C50">
        <w:t>rozprawy</w:t>
      </w:r>
      <w:r>
        <w:t xml:space="preserve"> doktorskiej. W rozdziale piątym </w:t>
      </w:r>
      <w:r w:rsidR="0008308F">
        <w:t xml:space="preserve">przedstawiono strukturę dochodów sektora instytucji rządowych i samorządowych w krajach UE oraz dynamikę wpływów z podatku akcyzowego w Polsce i w krajach postsocjalistycznych. Struktura wpływów pokazuje, że </w:t>
      </w:r>
      <w:r w:rsidR="0008308F" w:rsidRPr="0008308F">
        <w:t>trzy grupy wyrobów akcyzowych –</w:t>
      </w:r>
      <w:r w:rsidR="00B51C50">
        <w:t xml:space="preserve"> </w:t>
      </w:r>
      <w:r w:rsidR="0008308F" w:rsidRPr="0008308F">
        <w:t>energetyczne, tytoniowe, alkoholowe – zapewniają prawie całość wpływów z akcyzy ogółem w budżecie sektora instytucji rządowych i samorządowych.</w:t>
      </w:r>
      <w:r w:rsidR="0008308F">
        <w:t xml:space="preserve"> </w:t>
      </w:r>
      <w:r w:rsidR="0008308F" w:rsidRPr="0008308F">
        <w:t>To charakteryzuje cech</w:t>
      </w:r>
      <w:r w:rsidR="00965087">
        <w:t>ę</w:t>
      </w:r>
      <w:r w:rsidR="0008308F" w:rsidRPr="0008308F">
        <w:t xml:space="preserve"> podatku akcyzowego, jak</w:t>
      </w:r>
      <w:r w:rsidR="00965087">
        <w:t>ą jest</w:t>
      </w:r>
      <w:r w:rsidR="0008308F" w:rsidRPr="0008308F">
        <w:t xml:space="preserve"> ograniczony grupowo charakter obci</w:t>
      </w:r>
      <w:r w:rsidR="00965087">
        <w:t>ążenia podatkiem akcyzowym D</w:t>
      </w:r>
      <w:r w:rsidR="000F62ED">
        <w:t>osyć duża</w:t>
      </w:r>
      <w:r w:rsidR="00965087">
        <w:t xml:space="preserve"> akceptacja społeczna została pokazana na podstawie udziału akcyzy w cenie wyrobów akcyzowych. </w:t>
      </w:r>
      <w:r w:rsidR="00034596">
        <w:t>Ponoszenie wysokich kosztów związanych z podatkiem akcyzowym oznacza względną akceptację społeczną (podatek akcyzowy obciąża zarówno producentów, jak i konsumentów).</w:t>
      </w:r>
      <w:r w:rsidR="0013357E">
        <w:t xml:space="preserve"> </w:t>
      </w:r>
      <w:r w:rsidR="00967747">
        <w:t xml:space="preserve">Z kolei </w:t>
      </w:r>
      <w:r w:rsidR="00FD46AD">
        <w:t>dwie cechy: łatwość manipulowania akcyzą oraz niska wizualność społeczna skutków wzrostu podatku akcyzowego została pokazana na przykładzie opodatkowania akcyzą paliw silnikowych i wyrobów tytoniowych w Polsce.</w:t>
      </w:r>
    </w:p>
    <w:p w:rsidR="00687B1E" w:rsidRDefault="00FD46AD" w:rsidP="00CF14E5">
      <w:pPr>
        <w:jc w:val="both"/>
      </w:pPr>
      <w:r>
        <w:tab/>
      </w:r>
      <w:r w:rsidR="002E339B" w:rsidRPr="002E339B">
        <w:t>Ostatni siódmy rozdział jest próbą odpowiedzi na py</w:t>
      </w:r>
      <w:r w:rsidR="00BB399D">
        <w:t>tanie czy istnieją praktyczne i </w:t>
      </w:r>
      <w:r w:rsidR="002E339B" w:rsidRPr="002E339B">
        <w:t>teoretycz</w:t>
      </w:r>
      <w:r w:rsidR="002E339B">
        <w:t>ne granice opodatkowania akcyzą (na podstawie z</w:t>
      </w:r>
      <w:r w:rsidR="00BB399D">
        <w:t>mian dochodów budżetu państwa z </w:t>
      </w:r>
      <w:r w:rsidR="002E339B">
        <w:t>podatku akcyzowego w Polsce w kontekście zmian wysokości stawek oraz na podstawie informacji o szarej strefie w podatku akcyzowym).</w:t>
      </w:r>
    </w:p>
    <w:p w:rsidR="00687B1E" w:rsidRDefault="00687B1E" w:rsidP="00CF14E5">
      <w:pPr>
        <w:jc w:val="both"/>
      </w:pPr>
    </w:p>
    <w:p w:rsidR="00687B1E" w:rsidRDefault="00687B1E" w:rsidP="00CF14E5">
      <w:pPr>
        <w:jc w:val="both"/>
      </w:pPr>
    </w:p>
    <w:p w:rsidR="00687B1E" w:rsidRDefault="00687B1E" w:rsidP="00CF14E5">
      <w:pPr>
        <w:jc w:val="both"/>
      </w:pPr>
      <w:r>
        <w:t xml:space="preserve">Tabela 1. </w:t>
      </w:r>
      <w:r w:rsidRPr="00687B1E">
        <w:t xml:space="preserve">Dochody budżetu państwa z podatku akcyzowego </w:t>
      </w:r>
      <w:r>
        <w:t>–</w:t>
      </w:r>
      <w:r w:rsidRPr="00687B1E">
        <w:t xml:space="preserve"> Polska</w:t>
      </w:r>
    </w:p>
    <w:p w:rsidR="00FD46AD" w:rsidRDefault="00687B1E" w:rsidP="00CF14E5">
      <w:pPr>
        <w:jc w:val="both"/>
      </w:pPr>
      <w:r>
        <w:rPr>
          <w:noProof/>
          <w:lang w:eastAsia="pl-PL"/>
        </w:rPr>
        <w:drawing>
          <wp:inline distT="0" distB="0" distL="0" distR="0" wp14:anchorId="5B456044">
            <wp:extent cx="5615420" cy="2361537"/>
            <wp:effectExtent l="0" t="0" r="4445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45" cy="2364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339B">
        <w:t xml:space="preserve"> </w:t>
      </w:r>
    </w:p>
    <w:p w:rsidR="00687B1E" w:rsidRDefault="00687B1E" w:rsidP="00CF14E5">
      <w:pPr>
        <w:jc w:val="both"/>
      </w:pPr>
      <w:r>
        <w:t xml:space="preserve">Źródło: </w:t>
      </w:r>
      <w:r w:rsidR="00FD4AA6" w:rsidRPr="00FD4AA6">
        <w:t>opracowanie własne na podstawie danych MF i GUS.</w:t>
      </w:r>
    </w:p>
    <w:p w:rsidR="00FD4AA6" w:rsidRDefault="00FD4AA6" w:rsidP="00CF14E5">
      <w:pPr>
        <w:jc w:val="both"/>
      </w:pPr>
    </w:p>
    <w:p w:rsidR="007536FD" w:rsidRDefault="007536FD" w:rsidP="00CF14E5">
      <w:pPr>
        <w:jc w:val="both"/>
      </w:pPr>
      <w:r>
        <w:t xml:space="preserve">Wykres 1. </w:t>
      </w:r>
      <w:r w:rsidRPr="007536FD">
        <w:t>Dynamika w</w:t>
      </w:r>
      <w:r>
        <w:t xml:space="preserve">zrostu dochodów budżetu państwa </w:t>
      </w:r>
      <w:r w:rsidRPr="007536FD">
        <w:t>z podatku akcyzowego, Polska, w %, 2000=100</w:t>
      </w:r>
    </w:p>
    <w:p w:rsidR="000750EB" w:rsidRDefault="007536FD" w:rsidP="00CF14E5">
      <w:pPr>
        <w:jc w:val="both"/>
      </w:pPr>
      <w:r>
        <w:rPr>
          <w:noProof/>
          <w:lang w:eastAsia="pl-PL"/>
        </w:rPr>
        <w:drawing>
          <wp:inline distT="0" distB="0" distL="0" distR="0" wp14:anchorId="2DEABDD4">
            <wp:extent cx="5698945" cy="2512612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97" cy="2515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4AF" w:rsidRDefault="005174AF" w:rsidP="005174AF">
      <w:pPr>
        <w:jc w:val="both"/>
      </w:pPr>
      <w:r>
        <w:t xml:space="preserve">Źródło: </w:t>
      </w:r>
      <w:r w:rsidRPr="00FD4AA6">
        <w:t>opracowanie włas</w:t>
      </w:r>
      <w:r>
        <w:t>ne na podstawie danych MF.</w:t>
      </w:r>
    </w:p>
    <w:p w:rsidR="00E44273" w:rsidRDefault="00E44273" w:rsidP="005174AF">
      <w:pPr>
        <w:jc w:val="both"/>
      </w:pPr>
    </w:p>
    <w:p w:rsidR="008B309C" w:rsidRDefault="008B309C" w:rsidP="005174AF">
      <w:pPr>
        <w:jc w:val="both"/>
      </w:pPr>
    </w:p>
    <w:p w:rsidR="008B309C" w:rsidRDefault="008B309C" w:rsidP="005174AF">
      <w:pPr>
        <w:jc w:val="both"/>
      </w:pPr>
    </w:p>
    <w:p w:rsidR="008B309C" w:rsidRDefault="008B309C" w:rsidP="005174AF">
      <w:pPr>
        <w:jc w:val="both"/>
      </w:pPr>
    </w:p>
    <w:p w:rsidR="008B309C" w:rsidRDefault="008B309C" w:rsidP="005174AF">
      <w:pPr>
        <w:jc w:val="both"/>
      </w:pPr>
    </w:p>
    <w:p w:rsidR="008B309C" w:rsidRDefault="008B309C" w:rsidP="005174AF">
      <w:pPr>
        <w:jc w:val="both"/>
      </w:pPr>
    </w:p>
    <w:p w:rsidR="005174AF" w:rsidRDefault="00E44273" w:rsidP="005174AF">
      <w:pPr>
        <w:jc w:val="both"/>
      </w:pPr>
      <w:r>
        <w:t xml:space="preserve">Wykres 2. </w:t>
      </w:r>
      <w:r w:rsidRPr="00E44273">
        <w:t>Struktura dochodów budżetu państwa, Polska w %</w:t>
      </w:r>
    </w:p>
    <w:p w:rsidR="00E44273" w:rsidRDefault="00E44273" w:rsidP="005174AF">
      <w:pPr>
        <w:jc w:val="both"/>
      </w:pPr>
      <w:r>
        <w:rPr>
          <w:noProof/>
          <w:lang w:eastAsia="pl-PL"/>
        </w:rPr>
        <w:drawing>
          <wp:inline distT="0" distB="0" distL="0" distR="0" wp14:anchorId="336215DB">
            <wp:extent cx="5780599" cy="266573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063" cy="2669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309C" w:rsidRDefault="008B309C" w:rsidP="008B309C">
      <w:pPr>
        <w:jc w:val="both"/>
      </w:pPr>
      <w:r>
        <w:t xml:space="preserve">Źródło: </w:t>
      </w:r>
      <w:r w:rsidRPr="00FD4AA6">
        <w:t>opracowanie włas</w:t>
      </w:r>
      <w:r>
        <w:t>ne na podstawie danych MF.</w:t>
      </w:r>
    </w:p>
    <w:p w:rsidR="000750EB" w:rsidRDefault="000750EB" w:rsidP="00CF14E5">
      <w:pPr>
        <w:jc w:val="both"/>
      </w:pPr>
    </w:p>
    <w:p w:rsidR="008B309C" w:rsidRDefault="008B309C" w:rsidP="00CF14E5">
      <w:pPr>
        <w:jc w:val="both"/>
      </w:pPr>
      <w:r>
        <w:t>Wykres 3.</w:t>
      </w:r>
      <w:r w:rsidR="00544644">
        <w:t xml:space="preserve"> Struktura dochodów podatkowych </w:t>
      </w:r>
      <w:r w:rsidR="00544644" w:rsidRPr="00544644">
        <w:t>budżetu państwa, Polska, w %</w:t>
      </w:r>
    </w:p>
    <w:p w:rsidR="00544644" w:rsidRDefault="00544644" w:rsidP="00CF14E5">
      <w:pPr>
        <w:jc w:val="both"/>
      </w:pPr>
      <w:r>
        <w:rPr>
          <w:noProof/>
          <w:lang w:eastAsia="pl-PL"/>
        </w:rPr>
        <w:drawing>
          <wp:inline distT="0" distB="0" distL="0" distR="0" wp14:anchorId="6A665AA7">
            <wp:extent cx="5852160" cy="249826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68" cy="2506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644" w:rsidRDefault="00544644" w:rsidP="00544644">
      <w:pPr>
        <w:jc w:val="both"/>
      </w:pPr>
      <w:r>
        <w:t xml:space="preserve">Źródło: </w:t>
      </w:r>
      <w:r w:rsidRPr="00FD4AA6">
        <w:t>opracowanie włas</w:t>
      </w:r>
      <w:r>
        <w:t>ne na podstawie danych MF.</w:t>
      </w:r>
    </w:p>
    <w:p w:rsidR="00544644" w:rsidRDefault="00544644" w:rsidP="00CF14E5">
      <w:pPr>
        <w:jc w:val="both"/>
      </w:pPr>
    </w:p>
    <w:p w:rsidR="00544644" w:rsidRDefault="00544644" w:rsidP="00CF14E5">
      <w:pPr>
        <w:jc w:val="both"/>
      </w:pPr>
    </w:p>
    <w:p w:rsidR="00544644" w:rsidRDefault="00544644" w:rsidP="00CF14E5">
      <w:pPr>
        <w:jc w:val="both"/>
      </w:pPr>
    </w:p>
    <w:p w:rsidR="00544644" w:rsidRDefault="00544644" w:rsidP="00CF14E5">
      <w:pPr>
        <w:jc w:val="both"/>
      </w:pPr>
    </w:p>
    <w:p w:rsidR="00544644" w:rsidRDefault="00544644" w:rsidP="00CF14E5">
      <w:pPr>
        <w:jc w:val="both"/>
      </w:pPr>
    </w:p>
    <w:p w:rsidR="00544644" w:rsidRDefault="00544644" w:rsidP="00CF14E5">
      <w:pPr>
        <w:jc w:val="both"/>
      </w:pPr>
    </w:p>
    <w:p w:rsidR="00544644" w:rsidRDefault="00544644" w:rsidP="00CF14E5">
      <w:pPr>
        <w:jc w:val="both"/>
      </w:pPr>
      <w:r>
        <w:t>Wykres 4.</w:t>
      </w:r>
      <w:r w:rsidR="00632F04">
        <w:t xml:space="preserve"> Struktura dochodów podatkowych </w:t>
      </w:r>
      <w:r w:rsidR="00632F04" w:rsidRPr="00632F04">
        <w:t>budżet państwa + jednostki samorządu terytorialnego (PIT100% i CIT100%), Polska, w %</w:t>
      </w:r>
    </w:p>
    <w:p w:rsidR="00632F04" w:rsidRDefault="004843EC" w:rsidP="00CF14E5">
      <w:pPr>
        <w:jc w:val="both"/>
      </w:pPr>
      <w:r>
        <w:rPr>
          <w:noProof/>
          <w:lang w:eastAsia="pl-PL"/>
        </w:rPr>
        <w:drawing>
          <wp:inline distT="0" distB="0" distL="0" distR="0" wp14:anchorId="11A670FB">
            <wp:extent cx="5788745" cy="2401294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90" cy="2407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3EC" w:rsidRDefault="004843EC" w:rsidP="004843EC">
      <w:pPr>
        <w:jc w:val="both"/>
      </w:pPr>
      <w:r>
        <w:t xml:space="preserve">Źródło: </w:t>
      </w:r>
      <w:r w:rsidRPr="00FD4AA6">
        <w:t>opracowanie włas</w:t>
      </w:r>
      <w:r>
        <w:t>ne na podstawie danych MF.</w:t>
      </w:r>
    </w:p>
    <w:p w:rsidR="00575197" w:rsidRDefault="00575197" w:rsidP="00CF14E5">
      <w:pPr>
        <w:jc w:val="both"/>
      </w:pPr>
    </w:p>
    <w:p w:rsidR="004843EC" w:rsidRDefault="00291E23" w:rsidP="00CF14E5">
      <w:pPr>
        <w:jc w:val="both"/>
      </w:pPr>
      <w:r>
        <w:t xml:space="preserve">Wykres 5. </w:t>
      </w:r>
      <w:r w:rsidRPr="00291E23">
        <w:t>Strukt</w:t>
      </w:r>
      <w:r>
        <w:t xml:space="preserve">ura obciążeń podatkowych w UE, </w:t>
      </w:r>
      <w:r w:rsidRPr="00291E23">
        <w:t>2012 r.</w:t>
      </w:r>
    </w:p>
    <w:p w:rsidR="00291E23" w:rsidRDefault="00291E23" w:rsidP="00CF14E5">
      <w:pPr>
        <w:jc w:val="both"/>
      </w:pPr>
      <w:r>
        <w:rPr>
          <w:noProof/>
          <w:lang w:eastAsia="pl-PL"/>
        </w:rPr>
        <w:drawing>
          <wp:inline distT="0" distB="0" distL="0" distR="0" wp14:anchorId="76916EF2">
            <wp:extent cx="5935713" cy="258417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41" cy="258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E23" w:rsidRDefault="00291E23" w:rsidP="00CF14E5">
      <w:pPr>
        <w:jc w:val="both"/>
      </w:pPr>
      <w:r w:rsidRPr="00291E23">
        <w:t>Źródło: opracowanie własne na podstawie Eurostat, dostęp 03.04.2014</w:t>
      </w:r>
    </w:p>
    <w:p w:rsidR="00291E23" w:rsidRDefault="00291E23" w:rsidP="00CF14E5">
      <w:pPr>
        <w:jc w:val="both"/>
      </w:pPr>
    </w:p>
    <w:p w:rsidR="00291E23" w:rsidRDefault="00291E23" w:rsidP="00CF14E5">
      <w:pPr>
        <w:jc w:val="both"/>
      </w:pPr>
    </w:p>
    <w:p w:rsidR="00291E23" w:rsidRDefault="00291E23" w:rsidP="00CF14E5">
      <w:pPr>
        <w:jc w:val="both"/>
      </w:pPr>
    </w:p>
    <w:p w:rsidR="00291E23" w:rsidRDefault="00291E23" w:rsidP="00CF14E5">
      <w:pPr>
        <w:jc w:val="both"/>
      </w:pPr>
    </w:p>
    <w:p w:rsidR="00291E23" w:rsidRDefault="00291E23" w:rsidP="00CF14E5">
      <w:pPr>
        <w:jc w:val="both"/>
      </w:pPr>
    </w:p>
    <w:p w:rsidR="00291E23" w:rsidRDefault="00291E23" w:rsidP="00CF14E5">
      <w:pPr>
        <w:jc w:val="both"/>
      </w:pPr>
    </w:p>
    <w:p w:rsidR="00291E23" w:rsidRDefault="00291E23" w:rsidP="00CF14E5">
      <w:pPr>
        <w:jc w:val="both"/>
      </w:pPr>
      <w:r>
        <w:t xml:space="preserve">Wykres 6. </w:t>
      </w:r>
      <w:r w:rsidR="006A73FD" w:rsidRPr="006A73FD">
        <w:t>Struktura dochodów sektora GG z podatków w UE, 2012 r.</w:t>
      </w:r>
    </w:p>
    <w:p w:rsidR="006A73FD" w:rsidRDefault="006A73FD" w:rsidP="00CF14E5">
      <w:pPr>
        <w:jc w:val="both"/>
      </w:pPr>
      <w:r>
        <w:rPr>
          <w:noProof/>
          <w:lang w:eastAsia="pl-PL"/>
        </w:rPr>
        <w:drawing>
          <wp:inline distT="0" distB="0" distL="0" distR="0" wp14:anchorId="66371D78">
            <wp:extent cx="5878126" cy="2433099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63" cy="2432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73FD" w:rsidRDefault="006A73FD" w:rsidP="00CF14E5">
      <w:pPr>
        <w:jc w:val="both"/>
      </w:pPr>
      <w:r w:rsidRPr="006A73FD">
        <w:t>Źródło: opracowanie własne na podstawie Eurostat, dostęp 03.04.2014</w:t>
      </w:r>
    </w:p>
    <w:p w:rsidR="00CC27FA" w:rsidRDefault="00CC27FA" w:rsidP="00CF14E5">
      <w:pPr>
        <w:jc w:val="both"/>
      </w:pPr>
    </w:p>
    <w:p w:rsidR="006A73FD" w:rsidRDefault="00CC27FA" w:rsidP="00CF14E5">
      <w:pPr>
        <w:jc w:val="both"/>
      </w:pPr>
      <w:r>
        <w:t xml:space="preserve">Wykres 7. </w:t>
      </w:r>
      <w:r w:rsidRPr="00CC27FA">
        <w:t>Dochody i wydatki sektora GG w UE,1995-2013, % PKB</w:t>
      </w:r>
    </w:p>
    <w:p w:rsidR="00CC27FA" w:rsidRDefault="00CC27FA" w:rsidP="00CF14E5">
      <w:pPr>
        <w:jc w:val="both"/>
      </w:pPr>
      <w:r>
        <w:rPr>
          <w:noProof/>
          <w:lang w:eastAsia="pl-PL"/>
        </w:rPr>
        <w:drawing>
          <wp:inline distT="0" distB="0" distL="0" distR="0" wp14:anchorId="3A0DDD22">
            <wp:extent cx="5944957" cy="2853778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83" cy="2853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73FD" w:rsidRDefault="00CC27FA" w:rsidP="00CF14E5">
      <w:pPr>
        <w:jc w:val="both"/>
      </w:pPr>
      <w:r w:rsidRPr="00CC27FA">
        <w:t>Źródło: opracowanie własne na podstawie Eurostat, dostęp 06.02.2016</w:t>
      </w:r>
    </w:p>
    <w:p w:rsidR="00CC27FA" w:rsidRDefault="00CC27FA" w:rsidP="00CF14E5">
      <w:pPr>
        <w:jc w:val="both"/>
      </w:pPr>
    </w:p>
    <w:p w:rsidR="00A1574E" w:rsidRDefault="00A1574E" w:rsidP="00CF14E5">
      <w:pPr>
        <w:jc w:val="both"/>
      </w:pPr>
    </w:p>
    <w:p w:rsidR="00A1574E" w:rsidRDefault="00A1574E" w:rsidP="00CF14E5">
      <w:pPr>
        <w:jc w:val="both"/>
      </w:pPr>
    </w:p>
    <w:p w:rsidR="00A1574E" w:rsidRDefault="00A1574E" w:rsidP="00CF14E5">
      <w:pPr>
        <w:jc w:val="both"/>
      </w:pPr>
    </w:p>
    <w:p w:rsidR="00575197" w:rsidRDefault="00575197" w:rsidP="00CF14E5">
      <w:pPr>
        <w:jc w:val="both"/>
      </w:pPr>
    </w:p>
    <w:p w:rsidR="00B712FD" w:rsidRDefault="00B712FD" w:rsidP="00CF14E5">
      <w:pPr>
        <w:jc w:val="both"/>
      </w:pPr>
      <w:r>
        <w:t xml:space="preserve">Wykres 8. </w:t>
      </w:r>
      <w:r w:rsidRPr="00B712FD">
        <w:t>Wydatki sektora GG w UE wg funkcji (COFOG), 2002-2013; % PKB</w:t>
      </w:r>
    </w:p>
    <w:p w:rsidR="00B712FD" w:rsidRDefault="00A1574E" w:rsidP="00CF14E5">
      <w:pPr>
        <w:jc w:val="both"/>
      </w:pPr>
      <w:r>
        <w:rPr>
          <w:noProof/>
          <w:lang w:eastAsia="pl-PL"/>
        </w:rPr>
        <w:drawing>
          <wp:inline distT="0" distB="0" distL="0" distR="0" wp14:anchorId="1C186330">
            <wp:extent cx="5987332" cy="269015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596" cy="2692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A4F" w:rsidRDefault="001E4A4F" w:rsidP="00CF14E5">
      <w:pPr>
        <w:jc w:val="both"/>
      </w:pPr>
      <w:r w:rsidRPr="001E4A4F">
        <w:t>Źródło: opracowanie własne na podstawie Eurostat, dostęp 07.02.2016</w:t>
      </w:r>
    </w:p>
    <w:p w:rsidR="001E4A4F" w:rsidRDefault="001E4A4F" w:rsidP="00CF14E5">
      <w:pPr>
        <w:jc w:val="both"/>
      </w:pPr>
    </w:p>
    <w:p w:rsidR="001E4A4F" w:rsidRDefault="001E4A4F" w:rsidP="00CF14E5">
      <w:pPr>
        <w:jc w:val="both"/>
      </w:pPr>
      <w:r>
        <w:t>Wykres 9.</w:t>
      </w:r>
      <w:r w:rsidR="00B47BC1">
        <w:t xml:space="preserve"> </w:t>
      </w:r>
      <w:r w:rsidR="00B47BC1" w:rsidRPr="00B47BC1">
        <w:t>Wydatki na zdrowie i edukację, dochody z akcyzy, sektor GG, nowe kraje UE</w:t>
      </w:r>
      <w:r w:rsidR="00B47BC1">
        <w:t>, % PKB, 2014 </w:t>
      </w:r>
      <w:r w:rsidR="00B47BC1" w:rsidRPr="00B47BC1">
        <w:t>r.</w:t>
      </w:r>
    </w:p>
    <w:p w:rsidR="00B47BC1" w:rsidRDefault="00A76108" w:rsidP="00CF14E5">
      <w:pPr>
        <w:jc w:val="both"/>
      </w:pPr>
      <w:r>
        <w:rPr>
          <w:noProof/>
          <w:lang w:eastAsia="pl-PL"/>
        </w:rPr>
        <w:drawing>
          <wp:inline distT="0" distB="0" distL="0" distR="0" wp14:anchorId="59988EB7">
            <wp:extent cx="5845041" cy="2647784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68" cy="2650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6108" w:rsidRDefault="00A76108" w:rsidP="00CF14E5">
      <w:pPr>
        <w:jc w:val="both"/>
      </w:pPr>
      <w:r w:rsidRPr="00A76108">
        <w:t>Źródło: Eurostat, dostęp 17.03.2016</w:t>
      </w:r>
    </w:p>
    <w:p w:rsidR="00A76108" w:rsidRDefault="00A76108" w:rsidP="00CF14E5">
      <w:pPr>
        <w:jc w:val="both"/>
      </w:pPr>
    </w:p>
    <w:p w:rsidR="00A76108" w:rsidRDefault="00A76108" w:rsidP="00CF14E5">
      <w:pPr>
        <w:jc w:val="both"/>
      </w:pPr>
    </w:p>
    <w:p w:rsidR="00A76108" w:rsidRDefault="00A76108" w:rsidP="00CF14E5">
      <w:pPr>
        <w:jc w:val="both"/>
      </w:pPr>
    </w:p>
    <w:p w:rsidR="00A76108" w:rsidRDefault="00A76108" w:rsidP="00CF14E5">
      <w:pPr>
        <w:jc w:val="both"/>
      </w:pPr>
    </w:p>
    <w:p w:rsidR="00A76108" w:rsidRDefault="00EE63EF" w:rsidP="00CF14E5">
      <w:pPr>
        <w:jc w:val="both"/>
      </w:pPr>
      <w:r>
        <w:t>Tabela 2</w:t>
      </w:r>
      <w:r w:rsidR="00A76108">
        <w:t xml:space="preserve">. </w:t>
      </w:r>
      <w:r w:rsidRPr="00EE63EF">
        <w:t>Planowane i faktyczne wzrosty podatku akcyzowego w papierosach</w:t>
      </w:r>
    </w:p>
    <w:p w:rsidR="00110FCF" w:rsidRDefault="00110FCF" w:rsidP="00CF14E5">
      <w:pPr>
        <w:jc w:val="both"/>
      </w:pPr>
      <w:r>
        <w:rPr>
          <w:noProof/>
          <w:lang w:eastAsia="pl-PL"/>
        </w:rPr>
        <w:drawing>
          <wp:inline distT="0" distB="0" distL="0" distR="0" wp14:anchorId="19936C13">
            <wp:extent cx="6216989" cy="2669803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14" cy="2671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FCF" w:rsidRDefault="00110FCF" w:rsidP="00CF14E5">
      <w:pPr>
        <w:jc w:val="both"/>
      </w:pPr>
      <w:r w:rsidRPr="00110FCF">
        <w:t>Źródło: opracowanie własne na podstawie danych MF i GUS.</w:t>
      </w:r>
    </w:p>
    <w:p w:rsidR="002B77C3" w:rsidRDefault="002B77C3" w:rsidP="00CF14E5">
      <w:pPr>
        <w:jc w:val="both"/>
      </w:pPr>
    </w:p>
    <w:p w:rsidR="002B77C3" w:rsidRDefault="002B77C3" w:rsidP="00CF14E5">
      <w:pPr>
        <w:jc w:val="both"/>
      </w:pPr>
      <w:r>
        <w:t>Wykres 10.</w:t>
      </w:r>
      <w:r w:rsidR="00996E5B">
        <w:t xml:space="preserve"> </w:t>
      </w:r>
      <w:r w:rsidR="00996E5B" w:rsidRPr="00996E5B">
        <w:t>Struktura dochodów budżetu państwa z akcyzy, 2014 r.</w:t>
      </w:r>
    </w:p>
    <w:p w:rsidR="00996E5B" w:rsidRDefault="00996E5B" w:rsidP="00CF14E5">
      <w:pPr>
        <w:jc w:val="both"/>
      </w:pPr>
      <w:r>
        <w:rPr>
          <w:noProof/>
          <w:lang w:eastAsia="pl-PL"/>
        </w:rPr>
        <w:drawing>
          <wp:inline distT="0" distB="0" distL="0" distR="0" wp14:anchorId="5542506B">
            <wp:extent cx="5023485" cy="4352925"/>
            <wp:effectExtent l="0" t="0" r="571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E5B" w:rsidRDefault="00996E5B" w:rsidP="00CF14E5">
      <w:pPr>
        <w:jc w:val="both"/>
      </w:pPr>
      <w:r w:rsidRPr="00996E5B">
        <w:t>Źródło: opracowanie własne na podstawie danych MF.</w:t>
      </w:r>
    </w:p>
    <w:p w:rsidR="00996E5B" w:rsidRDefault="00231C03" w:rsidP="00CF14E5">
      <w:pPr>
        <w:jc w:val="both"/>
      </w:pPr>
      <w:r w:rsidRPr="00231C03">
        <w:t>Wykres 1</w:t>
      </w:r>
      <w:r>
        <w:t>1</w:t>
      </w:r>
      <w:r w:rsidRPr="00231C03">
        <w:t>.</w:t>
      </w:r>
      <w:r>
        <w:t xml:space="preserve"> </w:t>
      </w:r>
      <w:r w:rsidRPr="00231C03">
        <w:t>Dynamika wzrostu dochodów podatkowych budżetu państwa w latach 1996-2014 (1996=100)</w:t>
      </w:r>
    </w:p>
    <w:p w:rsidR="00231C03" w:rsidRDefault="00231C03" w:rsidP="00CF14E5">
      <w:pPr>
        <w:jc w:val="both"/>
      </w:pPr>
      <w:r>
        <w:rPr>
          <w:noProof/>
          <w:lang w:eastAsia="pl-PL"/>
        </w:rPr>
        <w:drawing>
          <wp:inline distT="0" distB="0" distL="0" distR="0" wp14:anchorId="2ABDCCE7">
            <wp:extent cx="6170212" cy="3125118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88" cy="312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C03" w:rsidRDefault="00231C03" w:rsidP="00CF14E5">
      <w:pPr>
        <w:jc w:val="both"/>
      </w:pPr>
      <w:r w:rsidRPr="00231C03">
        <w:t>Źródło: opracowanie własne na podstawie danych MF.</w:t>
      </w:r>
    </w:p>
    <w:sectPr w:rsidR="00231C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AC6" w:rsidRDefault="00116AC6" w:rsidP="00A663E7">
      <w:pPr>
        <w:spacing w:after="0" w:line="240" w:lineRule="auto"/>
      </w:pPr>
      <w:r>
        <w:separator/>
      </w:r>
    </w:p>
  </w:endnote>
  <w:endnote w:type="continuationSeparator" w:id="0">
    <w:p w:rsidR="00116AC6" w:rsidRDefault="00116AC6" w:rsidP="00A66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AC6" w:rsidRDefault="00116AC6" w:rsidP="00A663E7">
      <w:pPr>
        <w:spacing w:after="0" w:line="240" w:lineRule="auto"/>
      </w:pPr>
      <w:r>
        <w:separator/>
      </w:r>
    </w:p>
  </w:footnote>
  <w:footnote w:type="continuationSeparator" w:id="0">
    <w:p w:rsidR="00116AC6" w:rsidRDefault="00116AC6" w:rsidP="00A663E7">
      <w:pPr>
        <w:spacing w:after="0" w:line="240" w:lineRule="auto"/>
      </w:pPr>
      <w:r>
        <w:continuationSeparator/>
      </w:r>
    </w:p>
  </w:footnote>
  <w:footnote w:id="1">
    <w:p w:rsidR="00A663E7" w:rsidRPr="00D8365F" w:rsidRDefault="00A663E7" w:rsidP="00A663E7">
      <w:pPr>
        <w:pStyle w:val="Tekstprzypisudolnego"/>
        <w:jc w:val="both"/>
        <w:rPr>
          <w:lang w:val="en-US"/>
        </w:rPr>
      </w:pPr>
      <w:r w:rsidRPr="00442406">
        <w:rPr>
          <w:rStyle w:val="Znakiprzypiswdolnych"/>
        </w:rPr>
        <w:footnoteRef/>
      </w:r>
      <w:r w:rsidR="00442406">
        <w:t xml:space="preserve"> Szerzej: </w:t>
      </w:r>
      <w:r w:rsidR="0052749A">
        <w:t xml:space="preserve">Ferdynand H.M. Grapperhaus, </w:t>
      </w:r>
      <w:r w:rsidRPr="0052749A">
        <w:rPr>
          <w:i/>
        </w:rPr>
        <w:t>Opowieści podatkowe Drugiego Millenium</w:t>
      </w:r>
      <w:r w:rsidR="00EB1D00">
        <w:t>, Ferdynand H.M. </w:t>
      </w:r>
      <w:r w:rsidR="0052749A">
        <w:t>Grapperhaus</w:t>
      </w:r>
      <w:r w:rsidR="0052749A" w:rsidRPr="0052749A">
        <w:rPr>
          <w:i/>
        </w:rPr>
        <w:t xml:space="preserve">, </w:t>
      </w:r>
      <w:r w:rsidRPr="0052749A">
        <w:rPr>
          <w:i/>
        </w:rPr>
        <w:t xml:space="preserve">Podatki przez wieki. </w:t>
      </w:r>
      <w:r w:rsidR="0052749A" w:rsidRPr="0052749A">
        <w:rPr>
          <w:i/>
          <w:lang w:val="en-US"/>
        </w:rPr>
        <w:t>Historia wizualna</w:t>
      </w:r>
      <w:r w:rsidRPr="00D8365F">
        <w:rPr>
          <w:lang w:val="en-US"/>
        </w:rPr>
        <w:t>, Tonik „Dom Organizatora”, Toruń 2010</w:t>
      </w:r>
      <w:r w:rsidR="00442406" w:rsidRPr="00D8365F">
        <w:rPr>
          <w:lang w:val="en-US"/>
        </w:rPr>
        <w:t>.</w:t>
      </w:r>
    </w:p>
  </w:footnote>
  <w:footnote w:id="2">
    <w:p w:rsidR="00442406" w:rsidRPr="00736646" w:rsidRDefault="00442406" w:rsidP="00442406">
      <w:pPr>
        <w:pStyle w:val="Tekstprzypisudolnego"/>
        <w:jc w:val="both"/>
        <w:rPr>
          <w:lang w:val="en-US"/>
        </w:rPr>
      </w:pPr>
      <w:r>
        <w:rPr>
          <w:rStyle w:val="Odwoanieprzypisudolnego"/>
        </w:rPr>
        <w:footnoteRef/>
      </w:r>
      <w:r w:rsidRPr="00736646">
        <w:rPr>
          <w:lang w:val="en-US"/>
        </w:rPr>
        <w:t xml:space="preserve"> S. Cnossen, </w:t>
      </w:r>
      <w:r w:rsidRPr="00644E86">
        <w:rPr>
          <w:i/>
          <w:lang w:val="en-US"/>
        </w:rPr>
        <w:t>Excise Sysytems 1</w:t>
      </w:r>
      <w:r w:rsidRPr="00736646">
        <w:rPr>
          <w:lang w:val="en-US"/>
        </w:rPr>
        <w:t xml:space="preserve">, 1977, [za:] </w:t>
      </w:r>
      <w:r>
        <w:rPr>
          <w:lang w:val="en-US"/>
        </w:rPr>
        <w:t xml:space="preserve">B. J. M. Terra, </w:t>
      </w:r>
      <w:r w:rsidRPr="00644E86">
        <w:rPr>
          <w:i/>
          <w:lang w:val="en-US"/>
        </w:rPr>
        <w:t>Excises, Tax Law Design and Drafting</w:t>
      </w:r>
      <w:r>
        <w:rPr>
          <w:lang w:val="en-US"/>
        </w:rPr>
        <w:t>, vol</w:t>
      </w:r>
      <w:r w:rsidR="00644E86">
        <w:rPr>
          <w:lang w:val="en-US"/>
        </w:rPr>
        <w:t xml:space="preserve">. 1, </w:t>
      </w:r>
      <w:r>
        <w:rPr>
          <w:lang w:val="en-US"/>
        </w:rPr>
        <w:t xml:space="preserve"> </w:t>
      </w:r>
      <w:r w:rsidR="00644E86" w:rsidRPr="00644E86">
        <w:rPr>
          <w:lang w:val="en-US"/>
        </w:rPr>
        <w:t>V</w:t>
      </w:r>
      <w:r w:rsidR="00C917AC">
        <w:rPr>
          <w:lang w:val="en-US"/>
        </w:rPr>
        <w:t>. </w:t>
      </w:r>
      <w:r w:rsidR="00644E86" w:rsidRPr="00644E86">
        <w:rPr>
          <w:lang w:val="en-US"/>
        </w:rPr>
        <w:t>Thuronyi, ed.</w:t>
      </w:r>
      <w:r w:rsidR="00644E86">
        <w:rPr>
          <w:lang w:val="en-US"/>
        </w:rPr>
        <w:t xml:space="preserve"> International Monetary Fund, </w:t>
      </w:r>
      <w:r w:rsidR="00C917AC">
        <w:rPr>
          <w:lang w:val="en-US"/>
        </w:rPr>
        <w:t xml:space="preserve">1996, </w:t>
      </w:r>
      <w:hyperlink r:id="rId1" w:history="1">
        <w:r w:rsidR="00C917AC" w:rsidRPr="00CF0FD8">
          <w:rPr>
            <w:rStyle w:val="Hipercze"/>
            <w:lang w:val="en-US"/>
          </w:rPr>
          <w:t>https://www.imf.org/external/pubs/nft/1998/tlaw/eng/ch8.pdf</w:t>
        </w:r>
      </w:hyperlink>
      <w:r w:rsidR="00C917AC">
        <w:rPr>
          <w:lang w:val="en-US"/>
        </w:rPr>
        <w:t>, dostęp 12.04.2016.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E0F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603E08A9"/>
    <w:multiLevelType w:val="hybridMultilevel"/>
    <w:tmpl w:val="D0AE6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C1A"/>
    <w:rsid w:val="0002090E"/>
    <w:rsid w:val="000275EB"/>
    <w:rsid w:val="00034596"/>
    <w:rsid w:val="000443FF"/>
    <w:rsid w:val="0005503C"/>
    <w:rsid w:val="000750EB"/>
    <w:rsid w:val="0008308F"/>
    <w:rsid w:val="000860D2"/>
    <w:rsid w:val="000976A5"/>
    <w:rsid w:val="000F3D33"/>
    <w:rsid w:val="000F62ED"/>
    <w:rsid w:val="00110FCF"/>
    <w:rsid w:val="00116AC6"/>
    <w:rsid w:val="00126DD5"/>
    <w:rsid w:val="0013357E"/>
    <w:rsid w:val="001E4A4F"/>
    <w:rsid w:val="00231C03"/>
    <w:rsid w:val="002636D2"/>
    <w:rsid w:val="00280954"/>
    <w:rsid w:val="00291E23"/>
    <w:rsid w:val="002B3C3A"/>
    <w:rsid w:val="002B77C3"/>
    <w:rsid w:val="002E339B"/>
    <w:rsid w:val="002E79F6"/>
    <w:rsid w:val="00315031"/>
    <w:rsid w:val="00332DF7"/>
    <w:rsid w:val="003E4A6E"/>
    <w:rsid w:val="003F5608"/>
    <w:rsid w:val="0040474E"/>
    <w:rsid w:val="00421F62"/>
    <w:rsid w:val="00442406"/>
    <w:rsid w:val="00465EE1"/>
    <w:rsid w:val="004843EC"/>
    <w:rsid w:val="00491AF4"/>
    <w:rsid w:val="00491C91"/>
    <w:rsid w:val="00514984"/>
    <w:rsid w:val="005174AF"/>
    <w:rsid w:val="00527281"/>
    <w:rsid w:val="0052749A"/>
    <w:rsid w:val="00544644"/>
    <w:rsid w:val="00575197"/>
    <w:rsid w:val="00632F04"/>
    <w:rsid w:val="00644E86"/>
    <w:rsid w:val="00687B1E"/>
    <w:rsid w:val="006A73FD"/>
    <w:rsid w:val="0074168B"/>
    <w:rsid w:val="0074535C"/>
    <w:rsid w:val="007536FD"/>
    <w:rsid w:val="008B309C"/>
    <w:rsid w:val="008F605B"/>
    <w:rsid w:val="00916109"/>
    <w:rsid w:val="00965087"/>
    <w:rsid w:val="00967747"/>
    <w:rsid w:val="00996618"/>
    <w:rsid w:val="00996E5B"/>
    <w:rsid w:val="00A00730"/>
    <w:rsid w:val="00A1574E"/>
    <w:rsid w:val="00A663E7"/>
    <w:rsid w:val="00A76108"/>
    <w:rsid w:val="00B166B7"/>
    <w:rsid w:val="00B47BC1"/>
    <w:rsid w:val="00B51C50"/>
    <w:rsid w:val="00B712FD"/>
    <w:rsid w:val="00BB399D"/>
    <w:rsid w:val="00C741E4"/>
    <w:rsid w:val="00C917AC"/>
    <w:rsid w:val="00CC27FA"/>
    <w:rsid w:val="00CF14E5"/>
    <w:rsid w:val="00D644A7"/>
    <w:rsid w:val="00D8365F"/>
    <w:rsid w:val="00D91916"/>
    <w:rsid w:val="00DD2AEB"/>
    <w:rsid w:val="00E12C1A"/>
    <w:rsid w:val="00E42D11"/>
    <w:rsid w:val="00E44273"/>
    <w:rsid w:val="00EB1D00"/>
    <w:rsid w:val="00EC4D17"/>
    <w:rsid w:val="00EE63EF"/>
    <w:rsid w:val="00F060A1"/>
    <w:rsid w:val="00F33B06"/>
    <w:rsid w:val="00FD46AD"/>
    <w:rsid w:val="00FD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3D33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A663E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rsid w:val="00A663E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Znakiprzypiswdolnych">
    <w:name w:val="Znaki przypisów dolnych"/>
    <w:rsid w:val="00A663E7"/>
    <w:rPr>
      <w:vertAlign w:val="superscript"/>
    </w:rPr>
  </w:style>
  <w:style w:type="character" w:customStyle="1" w:styleId="Odwoanieprzypisudolnego1">
    <w:name w:val="Odwołanie przypisu dolnego1"/>
    <w:rsid w:val="00A663E7"/>
    <w:rPr>
      <w:vertAlign w:val="superscript"/>
    </w:rPr>
  </w:style>
  <w:style w:type="character" w:styleId="Odwoanieprzypisudolnego">
    <w:name w:val="footnote reference"/>
    <w:rsid w:val="00442406"/>
    <w:rPr>
      <w:position w:val="0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459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3459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3459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7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7B1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917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3D33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A663E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rsid w:val="00A663E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Znakiprzypiswdolnych">
    <w:name w:val="Znaki przypisów dolnych"/>
    <w:rsid w:val="00A663E7"/>
    <w:rPr>
      <w:vertAlign w:val="superscript"/>
    </w:rPr>
  </w:style>
  <w:style w:type="character" w:customStyle="1" w:styleId="Odwoanieprzypisudolnego1">
    <w:name w:val="Odwołanie przypisu dolnego1"/>
    <w:rsid w:val="00A663E7"/>
    <w:rPr>
      <w:vertAlign w:val="superscript"/>
    </w:rPr>
  </w:style>
  <w:style w:type="character" w:styleId="Odwoanieprzypisudolnego">
    <w:name w:val="footnote reference"/>
    <w:rsid w:val="00442406"/>
    <w:rPr>
      <w:position w:val="0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459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3459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3459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7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7B1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917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1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99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387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886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27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mf.org/external/pubs/nft/1998/tlaw/eng/ch8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495E7-0289-4D7F-873A-3807CA285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1335</Words>
  <Characters>8012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Finansów</Company>
  <LinksUpToDate>false</LinksUpToDate>
  <CharactersWithSpaces>9329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Gołębiowska Katarzyna</dc:creator>
  <cp:lastModifiedBy>PKiN</cp:lastModifiedBy>
  <cp:revision>2</cp:revision>
  <cp:lastPrinted>2016-03-21T09:30:00Z</cp:lastPrinted>
  <dcterms:created xsi:type="dcterms:W3CDTF">2016-04-15T09:52:00Z</dcterms:created>
  <dcterms:modified xsi:type="dcterms:W3CDTF">2016-04-15T09:52:00Z</dcterms:modified>
</cp:coreProperties>
</file>