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E7" w:rsidRDefault="00C762E7">
      <w:pPr>
        <w:pStyle w:val="Heading1"/>
        <w:rPr>
          <w:rFonts w:ascii="Times New Roman" w:hAnsi="Times New Roman" w:cs="Times New Roman"/>
        </w:rPr>
      </w:pPr>
      <w:r>
        <w:rPr>
          <w:rFonts w:ascii="Times New Roman" w:hAnsi="Times New Roman" w:cs="Times New Roman"/>
        </w:rPr>
        <w:t>Stanisław  Gomułka</w:t>
      </w:r>
    </w:p>
    <w:p w:rsidR="00C762E7" w:rsidRDefault="00C762E7">
      <w:r>
        <w:t xml:space="preserve"> członek krajowy PAN, członek NRR, główny ekonomista BCC</w:t>
      </w:r>
    </w:p>
    <w:p w:rsidR="00C762E7" w:rsidRDefault="00C762E7">
      <w:pPr>
        <w:rPr>
          <w:rFonts w:ascii="Times New Roman" w:hAnsi="Times New Roman" w:cs="Times New Roman"/>
        </w:rPr>
      </w:pPr>
    </w:p>
    <w:p w:rsidR="00C762E7" w:rsidRDefault="00C762E7">
      <w:pPr>
        <w:pStyle w:val="BodyText"/>
        <w:rPr>
          <w:rFonts w:ascii="Times New Roman" w:hAnsi="Times New Roman" w:cs="Times New Roman"/>
          <w:sz w:val="32"/>
          <w:szCs w:val="32"/>
        </w:rPr>
      </w:pPr>
      <w:r>
        <w:rPr>
          <w:sz w:val="32"/>
          <w:szCs w:val="32"/>
        </w:rPr>
        <w:t xml:space="preserve">Konferencja Ministerstwa Rozwoju, Warszawa 31. 08. 2016 r.,  dotycząca rządowego  projektu dokumentu pt.  „Strategia na rzecz odpowiedzialnego rozwoju” . </w:t>
      </w:r>
    </w:p>
    <w:p w:rsidR="00C762E7" w:rsidRDefault="00C762E7">
      <w:pPr>
        <w:pStyle w:val="BodyText"/>
        <w:rPr>
          <w:rFonts w:ascii="Times New Roman" w:hAnsi="Times New Roman" w:cs="Times New Roman"/>
          <w:sz w:val="32"/>
          <w:szCs w:val="32"/>
        </w:rPr>
      </w:pPr>
    </w:p>
    <w:p w:rsidR="00C762E7" w:rsidRDefault="00C762E7">
      <w:pPr>
        <w:pStyle w:val="BodyText"/>
        <w:rPr>
          <w:rFonts w:ascii="Times New Roman" w:hAnsi="Times New Roman" w:cs="Times New Roman"/>
          <w:sz w:val="40"/>
          <w:szCs w:val="40"/>
        </w:rPr>
      </w:pPr>
      <w:r>
        <w:rPr>
          <w:sz w:val="40"/>
          <w:szCs w:val="40"/>
        </w:rPr>
        <w:t>Dyskusja panelowa na temat  „oceny przyjętego modelu i mechanizmów rozwojowych oraz trafności i kierunków działań”</w:t>
      </w:r>
      <w:r>
        <w:rPr>
          <w:rFonts w:ascii="Times New Roman" w:hAnsi="Times New Roman" w:cs="Times New Roman"/>
          <w:sz w:val="40"/>
          <w:szCs w:val="40"/>
        </w:rPr>
        <w:t>.</w:t>
      </w:r>
    </w:p>
    <w:p w:rsidR="00C762E7" w:rsidRDefault="00C762E7">
      <w:pPr>
        <w:pStyle w:val="BodyText"/>
        <w:rPr>
          <w:rFonts w:ascii="Times New Roman" w:hAnsi="Times New Roman" w:cs="Times New Roman"/>
          <w:sz w:val="32"/>
          <w:szCs w:val="32"/>
        </w:rPr>
      </w:pPr>
    </w:p>
    <w:p w:rsidR="00C762E7" w:rsidRDefault="00C762E7">
      <w:pPr>
        <w:pStyle w:val="ListParagraph"/>
        <w:numPr>
          <w:ilvl w:val="0"/>
          <w:numId w:val="2"/>
        </w:numPr>
        <w:rPr>
          <w:b/>
          <w:bCs/>
          <w:sz w:val="32"/>
          <w:szCs w:val="32"/>
        </w:rPr>
      </w:pPr>
      <w:r>
        <w:rPr>
          <w:b/>
          <w:bCs/>
          <w:sz w:val="32"/>
          <w:szCs w:val="32"/>
        </w:rPr>
        <w:t>Uwagi wstępne</w:t>
      </w:r>
    </w:p>
    <w:p w:rsidR="00C762E7" w:rsidRDefault="00C762E7">
      <w:pPr>
        <w:pStyle w:val="BodyText"/>
        <w:rPr>
          <w:rFonts w:ascii="Times New Roman" w:hAnsi="Times New Roman" w:cs="Times New Roman"/>
          <w:sz w:val="32"/>
          <w:szCs w:val="32"/>
        </w:rPr>
      </w:pPr>
      <w:r>
        <w:rPr>
          <w:sz w:val="32"/>
          <w:szCs w:val="32"/>
        </w:rPr>
        <w:t>Pierwsza wersja  omawianego dzisiaj dokumentu  została przedstawiona przez wicepremiera Morawieckiego  na spotkaniu Narodowej Rady Rozwoju 7-go marca. Na prośbę Prezydenta  Dudy miałem wtedy okazję  skomentować tę wersję.</w:t>
      </w:r>
    </w:p>
    <w:p w:rsidR="00C762E7" w:rsidRDefault="00C762E7">
      <w:pPr>
        <w:pStyle w:val="BodyText"/>
        <w:rPr>
          <w:rFonts w:ascii="Times New Roman" w:hAnsi="Times New Roman" w:cs="Times New Roman"/>
          <w:sz w:val="32"/>
          <w:szCs w:val="32"/>
        </w:rPr>
      </w:pPr>
      <w:r>
        <w:rPr>
          <w:sz w:val="32"/>
          <w:szCs w:val="32"/>
        </w:rPr>
        <w:t>W swoim komentarzu (Rzeczpospolita, 8. 03.2016) nie miałem zastrzeżeń do części diagnostycznej</w:t>
      </w:r>
      <w:r>
        <w:rPr>
          <w:rFonts w:ascii="Times New Roman" w:hAnsi="Times New Roman" w:cs="Times New Roman"/>
          <w:sz w:val="32"/>
          <w:szCs w:val="32"/>
        </w:rPr>
        <w:t>.</w:t>
      </w:r>
      <w:r>
        <w:rPr>
          <w:sz w:val="32"/>
          <w:szCs w:val="32"/>
        </w:rPr>
        <w:t xml:space="preserve"> Przypomnę główne części tej diagnozy. Oszczędności narodowe oraz inwestycje krajowe są w relacji do PKB  tak niskie, że stanowi to zagrożenie dla wzrostu gospodarczego i stabilności finansów publicznych; luka podatkowa i szara strefa są około dwukrotnie wyższe niż w starych krajach UE; szkolnictwo zawodowe i nakłady na badania i rozwój  (B+R) są wyjątkowo  nieadekwatne do potrzeb;  koszty biurokracji  są nadmiernie wysokie, nazbyt silnie ograniczające przedsiębiorczość;  jakość wielu ustaw i  praktyka sądownictwa gospodarczego  są nagminnie niskiej jakości ; zagrożenie demograficzne jest bardzo  duże, potencjalnie niebezpieczne dla stabilności  gospodarki i pozycji Polski w Europie. </w:t>
      </w:r>
    </w:p>
    <w:p w:rsidR="00C762E7" w:rsidRDefault="00C762E7">
      <w:pPr>
        <w:pStyle w:val="BodyText"/>
        <w:rPr>
          <w:rFonts w:ascii="Times New Roman" w:hAnsi="Times New Roman" w:cs="Times New Roman"/>
          <w:sz w:val="32"/>
          <w:szCs w:val="32"/>
        </w:rPr>
      </w:pPr>
      <w:r>
        <w:rPr>
          <w:sz w:val="32"/>
          <w:szCs w:val="32"/>
        </w:rPr>
        <w:t>Te problemy są dobrze znane od  wielu lat i były odnotowywane w kolejnych  programach rządowych  . Obecny dokument nawiązuje do tych dotychczasowych programów, także do dokumentów programowych  UE ,  a nawet do  zaleceń ONZ. Mamy także, sądzę,   akceptację modelu standardowego gospodarki rynkowej,  opartego na zdecydowanie  dominującej roli prywatnej własności,  na centralnej dla rozwoju roli  indywidualnej przedsiębiorczości i innowacyjności, na  silnej rynkowej konkurencji  i   koordynującej roli rynkowych cen</w:t>
      </w:r>
      <w:r>
        <w:rPr>
          <w:rFonts w:ascii="Times New Roman" w:hAnsi="Times New Roman" w:cs="Times New Roman"/>
          <w:sz w:val="32"/>
          <w:szCs w:val="32"/>
        </w:rPr>
        <w:t>,</w:t>
      </w:r>
      <w:r>
        <w:rPr>
          <w:sz w:val="32"/>
          <w:szCs w:val="32"/>
        </w:rPr>
        <w:t xml:space="preserve"> oraz na  głównie regulacyjnej i  redystrybucyjnej , a nie bezpośrednio gospodarczej, roli państwa.  Wątpliwości mogą dotyczyć tej ostatniej kwestii, bo przed ogłoszeniem  obecnego dokumentu pojawiły się wypowiedzi i sformułowania  ważnych  polityków PiS-u   o potrzebie znaczącego  wzmocnienia   roli  państwa w bezpośrednim zarządzaniu gospodarką, w tym także  w wyborze projektów inwestycyjnych</w:t>
      </w:r>
      <w:r>
        <w:rPr>
          <w:rFonts w:ascii="Times New Roman" w:hAnsi="Times New Roman" w:cs="Times New Roman"/>
          <w:sz w:val="32"/>
          <w:szCs w:val="32"/>
        </w:rPr>
        <w:t>.</w:t>
      </w:r>
      <w:r>
        <w:rPr>
          <w:sz w:val="32"/>
          <w:szCs w:val="32"/>
        </w:rPr>
        <w:t xml:space="preserve"> </w:t>
      </w:r>
    </w:p>
    <w:p w:rsidR="00C762E7" w:rsidRDefault="00C762E7">
      <w:pPr>
        <w:pStyle w:val="BodyText"/>
        <w:rPr>
          <w:rFonts w:ascii="Times New Roman" w:hAnsi="Times New Roman" w:cs="Times New Roman"/>
          <w:sz w:val="32"/>
          <w:szCs w:val="32"/>
        </w:rPr>
      </w:pPr>
      <w:r>
        <w:rPr>
          <w:sz w:val="32"/>
          <w:szCs w:val="32"/>
        </w:rPr>
        <w:t>Dokument   w szeregu miejscach     utrzymuje  wprost, że Strategia ma reprezentować  tzw. „nowy model rozwoju”. Ma on  polegać  m. inn. na,  cytuję,  „</w:t>
      </w:r>
      <w:r>
        <w:rPr>
          <w:i/>
          <w:iCs/>
          <w:sz w:val="32"/>
          <w:szCs w:val="32"/>
        </w:rPr>
        <w:t>selektywnym podejściu</w:t>
      </w:r>
      <w:r>
        <w:rPr>
          <w:sz w:val="32"/>
          <w:szCs w:val="32"/>
        </w:rPr>
        <w:t>”, co ma oznaczać , znów cytuję, „</w:t>
      </w:r>
      <w:r>
        <w:rPr>
          <w:i/>
          <w:iCs/>
          <w:sz w:val="32"/>
          <w:szCs w:val="32"/>
        </w:rPr>
        <w:t>koncentrację na produktach, technologiach, branżach i sektorach, które mają istotne znaczenie  dla realizacji celów Strategii w dłuższej perspektywie czasowej</w:t>
      </w:r>
      <w:r>
        <w:rPr>
          <w:sz w:val="32"/>
          <w:szCs w:val="32"/>
        </w:rPr>
        <w:t>”. Kto ma dokonywać takiej selekcji? Urzędnicy? Kto ma realizować takie decyzje? W polskiej gospodarce dominuje przecież  sektor prywatny a nie państwowy, dominują przedsiębiorcy a nie urzędnicy. Dokument  zapowiada „</w:t>
      </w:r>
      <w:r>
        <w:rPr>
          <w:i/>
          <w:iCs/>
          <w:sz w:val="32"/>
          <w:szCs w:val="32"/>
        </w:rPr>
        <w:t>stworzenie listy sektorów/technologii z perspektywą wzrostu”</w:t>
      </w:r>
      <w:r>
        <w:rPr>
          <w:sz w:val="32"/>
          <w:szCs w:val="32"/>
        </w:rPr>
        <w:t>.  Dawne ministerstwo gospodarki utworzyło listę tzw. „</w:t>
      </w:r>
      <w:r>
        <w:rPr>
          <w:i/>
          <w:iCs/>
          <w:sz w:val="32"/>
          <w:szCs w:val="32"/>
        </w:rPr>
        <w:t>krajowych inteligentnych specjalizacji</w:t>
      </w:r>
      <w:r>
        <w:rPr>
          <w:sz w:val="32"/>
          <w:szCs w:val="32"/>
        </w:rPr>
        <w:t xml:space="preserve">”.  Opisane  zostały w obszernym , 70-cio stronicowym dokumencie.  Obecny dokument włącza część tych specjalizacji. </w:t>
      </w:r>
    </w:p>
    <w:p w:rsidR="00C762E7" w:rsidRDefault="00C762E7">
      <w:pPr>
        <w:rPr>
          <w:rFonts w:ascii="Times New Roman" w:hAnsi="Times New Roman" w:cs="Times New Roman"/>
          <w:sz w:val="32"/>
          <w:szCs w:val="32"/>
        </w:rPr>
      </w:pPr>
      <w:r>
        <w:rPr>
          <w:sz w:val="32"/>
          <w:szCs w:val="32"/>
        </w:rPr>
        <w:t>Odpowiadając na jedno z pytań  dla panelistów,  nie  mam zastrzeżeń do większości wymienionych  w dokumencie celów polityki gospodarczej.   Celem może najważniejszym  jest  utrzymanie do roku 2030 tempa wzrostu gospodarczego   około 4%, czyli podtrzymanie dotychczasowego średniego tempa rozwoju. Ten cel jest bardzo ambitny, bo wraz ze zmniejszaniem się  luki technologicznej do najbardziej rozwiniętej części świata  , a takie bardzo znaczne zmniejszenie miało miejsce w ostatnich 25 latach,   coraz trudniej jest utrzymać wysokie tempo wzrostu gospodarczego . Autorzy  dokumentu rządowego  zauważyli więc, że do  podtrzymania dotychczasowego tempa rozwoju  potrzebny będzie znaczny wzrost  udziału w PKB nakładów inwestycyjnych oraz nakładów na badania i rozwój  (B+R). Potrzebny przyrost udziału nakładów inwestycyjnych  został oceniony na około 5-7 pp PKB,  a wzrost nakładów  na B+R   na co najmniej 1 pp.  PKB. Nie miałem i nadal nie mam jakichś zasadniczych  zastrzeżeń  do tej oceny.</w:t>
      </w:r>
    </w:p>
    <w:p w:rsidR="00C762E7" w:rsidRDefault="00C762E7">
      <w:pPr>
        <w:rPr>
          <w:rFonts w:ascii="Times New Roman" w:hAnsi="Times New Roman" w:cs="Times New Roman"/>
          <w:sz w:val="32"/>
          <w:szCs w:val="32"/>
        </w:rPr>
      </w:pPr>
      <w:r>
        <w:rPr>
          <w:sz w:val="32"/>
          <w:szCs w:val="32"/>
        </w:rPr>
        <w:t xml:space="preserve">Istotnym, wręcz najważniejszym ,    elementem proponowanej polityki gospodarczej rządu jest   decyzja, że ten wzrost nakładów na inwestycje  w środki trwałe  oraz na B+R    będzie finansowany </w:t>
      </w:r>
      <w:r>
        <w:rPr>
          <w:b/>
          <w:bCs/>
          <w:sz w:val="32"/>
          <w:szCs w:val="32"/>
        </w:rPr>
        <w:t>nie  dużo większym  niż dotąd</w:t>
      </w:r>
      <w:r>
        <w:rPr>
          <w:sz w:val="32"/>
          <w:szCs w:val="32"/>
        </w:rPr>
        <w:t xml:space="preserve"> napływem   kapitału zagranicznego, ale </w:t>
      </w:r>
      <w:r>
        <w:rPr>
          <w:b/>
          <w:bCs/>
          <w:sz w:val="32"/>
          <w:szCs w:val="32"/>
        </w:rPr>
        <w:t>silnym  wzrostem oszczędności krajowych</w:t>
      </w:r>
      <w:r>
        <w:rPr>
          <w:sz w:val="32"/>
          <w:szCs w:val="32"/>
        </w:rPr>
        <w:t>. Ponieważ z czasem Polska już nie będzie beneficjentem netto środków UE, to  od strony finansowej  realizacja tego kluczowego  elementu „Strategii”    wymaga  dużego zwiększenia  udziału  oszczędności krajowych w PKB</w:t>
      </w:r>
      <w:r>
        <w:rPr>
          <w:rFonts w:ascii="Times New Roman" w:hAnsi="Times New Roman" w:cs="Times New Roman"/>
          <w:sz w:val="32"/>
          <w:szCs w:val="32"/>
        </w:rPr>
        <w:t>.</w:t>
      </w:r>
      <w:r>
        <w:rPr>
          <w:sz w:val="32"/>
          <w:szCs w:val="32"/>
        </w:rPr>
        <w:t xml:space="preserve">  Podzielam opinię autorów dokumentu, że to zwiększenie powinno być    o  około 10 pp. PKB</w:t>
      </w:r>
      <w:r>
        <w:rPr>
          <w:rFonts w:ascii="Times New Roman" w:hAnsi="Times New Roman" w:cs="Times New Roman"/>
          <w:sz w:val="32"/>
          <w:szCs w:val="32"/>
        </w:rPr>
        <w:t>,</w:t>
      </w:r>
      <w:r>
        <w:rPr>
          <w:sz w:val="32"/>
          <w:szCs w:val="32"/>
        </w:rPr>
        <w:t xml:space="preserve"> czyli z poziomu około  15% PKB  do poziomu około 25%. To automatycznie oznacza konieczność zmniejszenia udziału konsumpcji w PKB o 10 pp. </w:t>
      </w:r>
    </w:p>
    <w:p w:rsidR="00C762E7" w:rsidRDefault="00C762E7">
      <w:pPr>
        <w:pStyle w:val="BodyText"/>
        <w:rPr>
          <w:sz w:val="32"/>
          <w:szCs w:val="32"/>
        </w:rPr>
      </w:pPr>
      <w:r>
        <w:rPr>
          <w:sz w:val="32"/>
          <w:szCs w:val="32"/>
        </w:rPr>
        <w:t xml:space="preserve">W porównaniu z dokumentem z marca,  zarówno diagnoza jak i cele zostały  praktycznie utrzymane bez zmian, chociaż są teraz  opisane dużo bardziej szczegółowo. </w:t>
      </w:r>
    </w:p>
    <w:p w:rsidR="00C762E7" w:rsidRDefault="00C762E7">
      <w:pPr>
        <w:pStyle w:val="BodyText"/>
        <w:rPr>
          <w:rFonts w:ascii="Times New Roman" w:hAnsi="Times New Roman" w:cs="Times New Roman"/>
          <w:sz w:val="32"/>
          <w:szCs w:val="32"/>
        </w:rPr>
      </w:pPr>
      <w:r>
        <w:rPr>
          <w:sz w:val="32"/>
          <w:szCs w:val="32"/>
        </w:rPr>
        <w:t xml:space="preserve">Zasadnicza część każdego dobrego  programu gospodarczego  to jednak przede wszystkim  </w:t>
      </w:r>
      <w:r>
        <w:rPr>
          <w:b/>
          <w:bCs/>
          <w:sz w:val="32"/>
          <w:szCs w:val="32"/>
        </w:rPr>
        <w:t>sformułowanie metod realizacji postawionych celów,   oraz przedstawienie analiz wskazujących na to , że zaproponowane  działania są w stanie  te rządowe cele osiągnąć.</w:t>
      </w:r>
      <w:r>
        <w:rPr>
          <w:sz w:val="32"/>
          <w:szCs w:val="32"/>
        </w:rPr>
        <w:t xml:space="preserve"> W krańcowym przypadku,  bez takich metod i bez takiej analizy,  po prostu nie ma programu, nie ma strategii.  W spotkaniu marcowym NRR uznałem, że tej </w:t>
      </w:r>
      <w:r>
        <w:rPr>
          <w:b/>
          <w:bCs/>
          <w:sz w:val="32"/>
          <w:szCs w:val="32"/>
        </w:rPr>
        <w:t>zasadniczej części niemal całkowicie  brakuje.</w:t>
      </w:r>
      <w:r>
        <w:rPr>
          <w:sz w:val="32"/>
          <w:szCs w:val="32"/>
        </w:rPr>
        <w:t xml:space="preserve">  Dotychczasowe inicjatywy programowe rządu szły  wręcz w odwrotnym kierunku, bo    program 500+ , obniżenie wieku emerytalnego czy podwyższenie kwoty wolnej od podatku zwiększają a nie zmniejszają udział konsumpcji w dochodzie narodowym. W odpowiedzi wicepremier Morawiecki poinformował, że ta zasadnicza część pojawi się mniej więcej we wrześniu.  Zatem pytanie dla nas wszystkich, także dla rządu,  jest takie , czy obecna wersja  istotnie wychodzi naprzeciw  temu  centralnemu zadaniu.  W mojej ocenie częściowo próbuje wychodzić, ale   </w:t>
      </w:r>
      <w:r>
        <w:rPr>
          <w:b/>
          <w:bCs/>
          <w:sz w:val="32"/>
          <w:szCs w:val="32"/>
        </w:rPr>
        <w:t>nadal brakuje  pokazania, że  proponowane działania są w stanie rządowe cele osiągnąć.</w:t>
      </w:r>
      <w:r>
        <w:rPr>
          <w:sz w:val="32"/>
          <w:szCs w:val="32"/>
        </w:rPr>
        <w:t xml:space="preserve"> </w:t>
      </w:r>
    </w:p>
    <w:p w:rsidR="00C762E7" w:rsidRDefault="00C762E7">
      <w:pPr>
        <w:pStyle w:val="BodyText"/>
        <w:rPr>
          <w:rFonts w:ascii="Times New Roman" w:hAnsi="Times New Roman" w:cs="Times New Roman"/>
          <w:sz w:val="32"/>
          <w:szCs w:val="32"/>
        </w:rPr>
      </w:pPr>
    </w:p>
    <w:p w:rsidR="00C762E7" w:rsidRDefault="00C762E7">
      <w:pPr>
        <w:pStyle w:val="BodyText"/>
        <w:numPr>
          <w:ilvl w:val="0"/>
          <w:numId w:val="2"/>
        </w:numPr>
        <w:rPr>
          <w:b/>
          <w:bCs/>
          <w:sz w:val="32"/>
          <w:szCs w:val="32"/>
        </w:rPr>
      </w:pPr>
      <w:r>
        <w:rPr>
          <w:b/>
          <w:bCs/>
          <w:sz w:val="32"/>
          <w:szCs w:val="32"/>
        </w:rPr>
        <w:t>Innowacyjność polskiej gospodarki była i jest wysoka, nie niska</w:t>
      </w:r>
    </w:p>
    <w:p w:rsidR="00C762E7" w:rsidRDefault="00C762E7">
      <w:pPr>
        <w:pStyle w:val="BodyText"/>
        <w:ind w:left="360"/>
        <w:rPr>
          <w:rFonts w:ascii="Times New Roman" w:hAnsi="Times New Roman" w:cs="Times New Roman"/>
          <w:sz w:val="32"/>
          <w:szCs w:val="32"/>
        </w:rPr>
      </w:pPr>
      <w:r>
        <w:rPr>
          <w:sz w:val="32"/>
          <w:szCs w:val="32"/>
        </w:rPr>
        <w:t xml:space="preserve">Zanim przejdę do kwestii metod realizacji wybranych celów , to chciałbym odnotować dwa błędy  analityczne. Pierwszy błąd dotyczy rozumienia kluczowego w dokumencie  pojęcia „innowacyjność gospodarki”, a dokładniej mierzenia i oceny wielkości  w Polsce  tego rodzaju innowacyjności. </w:t>
      </w:r>
    </w:p>
    <w:p w:rsidR="00C762E7" w:rsidRDefault="00C762E7">
      <w:pPr>
        <w:pStyle w:val="BodyText"/>
        <w:rPr>
          <w:rFonts w:ascii="Times New Roman" w:hAnsi="Times New Roman" w:cs="Times New Roman"/>
          <w:sz w:val="32"/>
          <w:szCs w:val="32"/>
        </w:rPr>
      </w:pPr>
      <w:r>
        <w:rPr>
          <w:sz w:val="32"/>
          <w:szCs w:val="32"/>
        </w:rPr>
        <w:t xml:space="preserve"> Innowacje w gospodarce  to przede wszystkim wprowadzane przez przedsiębiorstwa nowe produkty i nowe metody ich wytwarzania.   Te nowe innowacyjne produkty i metody mogły być  wynalezione w stosunkowo  odległej  przeszłości lub są wytwarzane  w ostatnich latach przez światowy sektor B+R . Tymczasem  autorzy „Strategii” przez innowacyjność gospodarki  rozumieją udział nakładów krajowych  na B+R w PKB (s. 106) lub  udział nowych polskich  patentów w relacji do światowej produkcji patentów (s. 52). To  są jednak miary innowacyjności samego polskiego sektora B+R  a nie miary  innowacyjności polskiej gospodarki . Polski sektor B+R jest  bowiem drobną częścią światowego sektora, bo nakłady w Polsce na B+R to oko³o ½ procenta wiatowych nak³adów .  Zatem </w:t>
      </w:r>
      <w:r>
        <w:rPr>
          <w:b/>
          <w:bCs/>
          <w:sz w:val="32"/>
          <w:szCs w:val="32"/>
        </w:rPr>
        <w:t>mamy w Polsce bardzo dużą różnicę miedzy innowacyjnością gospodarki a  innowacyjnością sektora B+R</w:t>
      </w:r>
      <w:r>
        <w:rPr>
          <w:rFonts w:ascii="Times New Roman" w:hAnsi="Times New Roman" w:cs="Times New Roman"/>
          <w:b/>
          <w:bCs/>
          <w:sz w:val="32"/>
          <w:szCs w:val="32"/>
        </w:rPr>
        <w:t>.</w:t>
      </w:r>
      <w:r>
        <w:rPr>
          <w:b/>
          <w:bCs/>
          <w:sz w:val="32"/>
          <w:szCs w:val="32"/>
        </w:rPr>
        <w:t xml:space="preserve"> </w:t>
      </w:r>
      <w:r>
        <w:rPr>
          <w:sz w:val="32"/>
          <w:szCs w:val="32"/>
        </w:rPr>
        <w:t>Tę różnicę dokument całkowicie pomija.</w:t>
      </w:r>
    </w:p>
    <w:p w:rsidR="00C762E7" w:rsidRDefault="00C762E7">
      <w:pPr>
        <w:pStyle w:val="BodyText"/>
        <w:rPr>
          <w:rFonts w:ascii="Times New Roman" w:hAnsi="Times New Roman" w:cs="Times New Roman"/>
          <w:b/>
          <w:bCs/>
          <w:sz w:val="32"/>
          <w:szCs w:val="32"/>
        </w:rPr>
      </w:pPr>
      <w:r>
        <w:rPr>
          <w:sz w:val="32"/>
          <w:szCs w:val="32"/>
        </w:rPr>
        <w:t xml:space="preserve">Na długą metę dobrą  miarą innowacyjności gospodarki jest tempo wzrostu PKB na roboczogodzinę , czyli tempo wzrostu wydajności pracy. To tempo było w ostatnich 25 latach  około dwukrotnie wyższe niż w krajach wysokorozwiniętych.  Zatem </w:t>
      </w:r>
      <w:r>
        <w:rPr>
          <w:b/>
          <w:bCs/>
          <w:sz w:val="32"/>
          <w:szCs w:val="32"/>
        </w:rPr>
        <w:t>innowacyjność polskiej gospodarki była i jest nadal wysoka, dużo wyższa niż krajów takich jak Niemcy, Japonia czy Stany Zjednoczone.</w:t>
      </w:r>
      <w:r>
        <w:rPr>
          <w:sz w:val="32"/>
          <w:szCs w:val="32"/>
        </w:rPr>
        <w:t xml:space="preserve"> Taka sytuacja jest normą wśród krajów mniej rozwiniętych technologicznie, ale  doganiających kraje najbardziej rozwinięte</w:t>
      </w:r>
      <w:r>
        <w:rPr>
          <w:b/>
          <w:bCs/>
          <w:sz w:val="32"/>
          <w:szCs w:val="32"/>
        </w:rPr>
        <w:t xml:space="preserve">.   Bardzo niska, niemal zerowa, jest natomiast innowacyjność polskiego sektora B+R. </w:t>
      </w:r>
    </w:p>
    <w:p w:rsidR="00C762E7" w:rsidRDefault="00C762E7">
      <w:pPr>
        <w:pStyle w:val="BodyText"/>
        <w:rPr>
          <w:rFonts w:ascii="Times New Roman" w:hAnsi="Times New Roman" w:cs="Times New Roman"/>
          <w:sz w:val="32"/>
          <w:szCs w:val="32"/>
        </w:rPr>
      </w:pPr>
      <w:r>
        <w:rPr>
          <w:sz w:val="32"/>
          <w:szCs w:val="32"/>
        </w:rPr>
        <w:t>W krajach doganiających, szczególnie na początkowym i średnim  etapie doganiania,  nie ma  znaczącej  zależności  między tymi dwoma rodzajami innowacyjności. Ten związek pojawia się dopiero na zaawansowanym etapie rozwoju. W Polsce zasadniczym  celem sektora B+R jest,  i jeszcze przez wiele lat będzie,  pomoc  przedsiębiorstwom w absorbowaniu zagranicznej produkcji innowacyjnej, a nie znaczący wkład do światowej produkcji innowacji.</w:t>
      </w:r>
    </w:p>
    <w:p w:rsidR="00C762E7" w:rsidRDefault="00C762E7">
      <w:pPr>
        <w:pStyle w:val="BodyText"/>
        <w:rPr>
          <w:rFonts w:ascii="Times New Roman" w:hAnsi="Times New Roman" w:cs="Times New Roman"/>
          <w:sz w:val="32"/>
          <w:szCs w:val="32"/>
        </w:rPr>
      </w:pPr>
    </w:p>
    <w:p w:rsidR="00C762E7" w:rsidRDefault="00C762E7">
      <w:pPr>
        <w:pStyle w:val="BodyText"/>
        <w:numPr>
          <w:ilvl w:val="0"/>
          <w:numId w:val="2"/>
        </w:numPr>
        <w:rPr>
          <w:rFonts w:ascii="Times New Roman" w:hAnsi="Times New Roman" w:cs="Times New Roman"/>
          <w:sz w:val="32"/>
          <w:szCs w:val="32"/>
        </w:rPr>
      </w:pPr>
      <w:r>
        <w:rPr>
          <w:b/>
          <w:bCs/>
          <w:sz w:val="32"/>
          <w:szCs w:val="32"/>
        </w:rPr>
        <w:t>O konkurencyjności decydują płace na jednostkę produktu, nie  za godzinę pracy</w:t>
      </w:r>
    </w:p>
    <w:p w:rsidR="00C762E7" w:rsidRDefault="00C762E7">
      <w:pPr>
        <w:pStyle w:val="BodyText"/>
        <w:rPr>
          <w:rFonts w:ascii="Times New Roman" w:hAnsi="Times New Roman" w:cs="Times New Roman"/>
          <w:sz w:val="32"/>
          <w:szCs w:val="32"/>
        </w:rPr>
      </w:pPr>
    </w:p>
    <w:p w:rsidR="00C762E7" w:rsidRDefault="00C762E7">
      <w:pPr>
        <w:pStyle w:val="BodyText"/>
        <w:rPr>
          <w:sz w:val="32"/>
          <w:szCs w:val="32"/>
        </w:rPr>
      </w:pPr>
      <w:r>
        <w:rPr>
          <w:sz w:val="32"/>
          <w:szCs w:val="32"/>
        </w:rPr>
        <w:t>Początkowo wymienia się poprawnie te czynniki, które dotąd decydowały o szybkim wzroście gospodarczym Polski (s.7). Tam niskich płac się nie wymienia.  Ale w póżniejszych częściach dokumentu pojawia się dość często  błąd polegający  na nierozróżnianiu między płacami za godzinę pracy , które są istotnie niskie w Polsce  w porównaniu np. z Niemcami,  a kosztami  pracy na jednostkę produktu, które nie są niskie.  O konkurencyjności decydują nie średnie płace a  właśnie  średnie jednostkowe koszty pracy,  które  w przypadku produktów przemysłowych są  podobne we wszystkich  krajach UE, w tym w Polsce i w Niemczech.  Zróżnicowanie średnich płac  jest generowane zróżnicowaniem średniej wydajności pracy. Ten fakt powinien być podkreślany przez autorów Strategii, bo jest mało znany wśród   polityków i wyborców.</w:t>
      </w:r>
    </w:p>
    <w:p w:rsidR="00C762E7" w:rsidRDefault="00C762E7">
      <w:pPr>
        <w:pStyle w:val="BodyText"/>
        <w:rPr>
          <w:rFonts w:ascii="Times New Roman" w:hAnsi="Times New Roman" w:cs="Times New Roman"/>
          <w:sz w:val="32"/>
          <w:szCs w:val="32"/>
        </w:rPr>
      </w:pPr>
      <w:r>
        <w:rPr>
          <w:sz w:val="32"/>
          <w:szCs w:val="32"/>
        </w:rPr>
        <w:t xml:space="preserve">  O płacach decyduje rynek pracy, więc ich zmieniać szybko nie można.   Przedsiębiorstwa zagraniczne </w:t>
      </w:r>
      <w:r>
        <w:rPr>
          <w:rFonts w:ascii="Times New Roman" w:hAnsi="Times New Roman" w:cs="Times New Roman"/>
          <w:sz w:val="32"/>
          <w:szCs w:val="32"/>
        </w:rPr>
        <w:t>,</w:t>
      </w:r>
      <w:r>
        <w:rPr>
          <w:sz w:val="32"/>
          <w:szCs w:val="32"/>
        </w:rPr>
        <w:t xml:space="preserve"> wprowadzając do Polski wysoko wydajne metody wytwarzania , obniżają silnie  i szybko jednostkowe koszty pracy. To przekłada się na (przejściowo)  wysoką zyskowność , wyższą niż w firmach krajowych,  więc także na ich  wysoką konkurencyjność, z której i Polska korzysta</w:t>
      </w:r>
      <w:r>
        <w:rPr>
          <w:rFonts w:ascii="Times New Roman" w:hAnsi="Times New Roman" w:cs="Times New Roman"/>
          <w:sz w:val="32"/>
          <w:szCs w:val="32"/>
        </w:rPr>
        <w:t>.</w:t>
      </w:r>
    </w:p>
    <w:p w:rsidR="00C762E7" w:rsidRDefault="00C762E7">
      <w:pPr>
        <w:pStyle w:val="BodyText"/>
        <w:rPr>
          <w:rFonts w:ascii="Times New Roman" w:hAnsi="Times New Roman" w:cs="Times New Roman"/>
          <w:sz w:val="32"/>
          <w:szCs w:val="32"/>
        </w:rPr>
      </w:pPr>
    </w:p>
    <w:p w:rsidR="00C762E7" w:rsidRDefault="00C762E7">
      <w:pPr>
        <w:pStyle w:val="ListParagraph"/>
        <w:numPr>
          <w:ilvl w:val="0"/>
          <w:numId w:val="2"/>
        </w:numPr>
        <w:rPr>
          <w:b/>
          <w:bCs/>
          <w:sz w:val="32"/>
          <w:szCs w:val="32"/>
        </w:rPr>
      </w:pPr>
      <w:r>
        <w:rPr>
          <w:b/>
          <w:bCs/>
          <w:sz w:val="32"/>
          <w:szCs w:val="32"/>
        </w:rPr>
        <w:t>Podstawowe żródła finansowania strategii do roku 2020</w:t>
      </w:r>
    </w:p>
    <w:p w:rsidR="00C762E7" w:rsidRDefault="00C762E7">
      <w:pPr>
        <w:pStyle w:val="BodyText"/>
        <w:rPr>
          <w:sz w:val="32"/>
          <w:szCs w:val="32"/>
        </w:rPr>
      </w:pPr>
      <w:r>
        <w:rPr>
          <w:sz w:val="32"/>
          <w:szCs w:val="32"/>
        </w:rPr>
        <w:t xml:space="preserve">Dokument programowy był przygotowywany przez 12 zespołów  tematycznych (s.3, przypis 1).  Moje uwagi ograniczę do propozycji realizacyjnych  tylko w  dwóch obszarach: </w:t>
      </w:r>
    </w:p>
    <w:p w:rsidR="00C762E7" w:rsidRDefault="00C762E7">
      <w:pPr>
        <w:pStyle w:val="ListParagraph"/>
        <w:numPr>
          <w:ilvl w:val="0"/>
          <w:numId w:val="1"/>
        </w:numPr>
        <w:rPr>
          <w:sz w:val="32"/>
          <w:szCs w:val="32"/>
        </w:rPr>
      </w:pPr>
      <w:r>
        <w:rPr>
          <w:sz w:val="32"/>
          <w:szCs w:val="32"/>
        </w:rPr>
        <w:t>Kapitał dla rozwoju, strony 73-82  i podstawowe żródła finansowania strategii do roku 2020,  cz. VII, strony 214-2018, oraz</w:t>
      </w:r>
    </w:p>
    <w:p w:rsidR="00C762E7" w:rsidRDefault="00C762E7">
      <w:pPr>
        <w:pStyle w:val="ListParagraph"/>
        <w:numPr>
          <w:ilvl w:val="0"/>
          <w:numId w:val="1"/>
        </w:numPr>
        <w:rPr>
          <w:rFonts w:ascii="Times New Roman" w:hAnsi="Times New Roman" w:cs="Times New Roman"/>
          <w:sz w:val="32"/>
          <w:szCs w:val="32"/>
        </w:rPr>
      </w:pPr>
      <w:r>
        <w:rPr>
          <w:sz w:val="32"/>
          <w:szCs w:val="32"/>
        </w:rPr>
        <w:t>Finanse publiczne , strony 153-157</w:t>
      </w:r>
    </w:p>
    <w:p w:rsidR="00C762E7" w:rsidRDefault="00C762E7">
      <w:pPr>
        <w:ind w:left="360"/>
        <w:rPr>
          <w:rFonts w:ascii="Times New Roman" w:hAnsi="Times New Roman" w:cs="Times New Roman"/>
          <w:sz w:val="32"/>
          <w:szCs w:val="32"/>
        </w:rPr>
      </w:pPr>
    </w:p>
    <w:p w:rsidR="00C762E7" w:rsidRDefault="00C762E7">
      <w:pPr>
        <w:rPr>
          <w:rFonts w:ascii="Times New Roman" w:hAnsi="Times New Roman" w:cs="Times New Roman"/>
          <w:sz w:val="32"/>
          <w:szCs w:val="32"/>
        </w:rPr>
      </w:pPr>
      <w:r>
        <w:rPr>
          <w:sz w:val="32"/>
          <w:szCs w:val="32"/>
        </w:rPr>
        <w:t xml:space="preserve">Tabela 4 na stronie 217 jest zatytułowana „Żródła finansowania Strategii na rzecz odpowiedzialnego rozwoju do 2020 r.” </w:t>
      </w:r>
    </w:p>
    <w:p w:rsidR="00C762E7" w:rsidRDefault="00C762E7">
      <w:pPr>
        <w:rPr>
          <w:rFonts w:ascii="Times New Roman" w:hAnsi="Times New Roman" w:cs="Times New Roman"/>
          <w:b/>
          <w:bCs/>
          <w:sz w:val="32"/>
          <w:szCs w:val="32"/>
        </w:rPr>
      </w:pPr>
      <w:r>
        <w:rPr>
          <w:sz w:val="32"/>
          <w:szCs w:val="32"/>
        </w:rPr>
        <w:t>Tabela pokazuje  duże   wydatki i dochody , głównie publiczne,  już w roku 2015, a więc przed pojawieniem się  projektu strategii.  Są tam bowiem  m. inn.  wydatki na projekty finansowane ze środków  unijnych oraz  wydatki budżetowe na służbę zdrowia finansowane  składką zdrowotną i wydatki na  szkolnictwo  finansowane podatkami</w:t>
      </w:r>
      <w:r>
        <w:rPr>
          <w:rFonts w:ascii="Times New Roman" w:hAnsi="Times New Roman" w:cs="Times New Roman"/>
          <w:sz w:val="32"/>
          <w:szCs w:val="32"/>
        </w:rPr>
        <w:t>.</w:t>
      </w:r>
      <w:r>
        <w:rPr>
          <w:sz w:val="32"/>
          <w:szCs w:val="32"/>
        </w:rPr>
        <w:t xml:space="preserve"> Ta tabela świadczy niestety o  kompletnie niepoważnym potraktowaniu problemu  finansowania strategii.  Poprawne podejście powinno  wycenić koszt inicjatyw wydatkowych   </w:t>
      </w:r>
      <w:r>
        <w:rPr>
          <w:b/>
          <w:bCs/>
          <w:sz w:val="32"/>
          <w:szCs w:val="32"/>
        </w:rPr>
        <w:t xml:space="preserve">ściśle związanych z proponowaną strategią  </w:t>
      </w:r>
      <w:r>
        <w:rPr>
          <w:sz w:val="32"/>
          <w:szCs w:val="32"/>
        </w:rPr>
        <w:t xml:space="preserve">i pokazać </w:t>
      </w:r>
      <w:r>
        <w:rPr>
          <w:b/>
          <w:bCs/>
          <w:sz w:val="32"/>
          <w:szCs w:val="32"/>
        </w:rPr>
        <w:t xml:space="preserve">nowe </w:t>
      </w:r>
      <w:r>
        <w:rPr>
          <w:sz w:val="32"/>
          <w:szCs w:val="32"/>
        </w:rPr>
        <w:t>żródła  dochodów, dzięki którym  ten koszt</w:t>
      </w:r>
      <w:r>
        <w:rPr>
          <w:b/>
          <w:bCs/>
          <w:sz w:val="32"/>
          <w:szCs w:val="32"/>
        </w:rPr>
        <w:t xml:space="preserve"> jest finansowalny  bez wzrostu zadłużenia . </w:t>
      </w:r>
      <w:r>
        <w:rPr>
          <w:sz w:val="32"/>
          <w:szCs w:val="32"/>
        </w:rPr>
        <w:t xml:space="preserve">Punktem wyjścia powinna być  „Strategia”, a  ściślej nowe elementy w tej strategii po stronie dochodów  i wydatków , a </w:t>
      </w:r>
      <w:r>
        <w:rPr>
          <w:b/>
          <w:bCs/>
          <w:sz w:val="32"/>
          <w:szCs w:val="32"/>
        </w:rPr>
        <w:t>nie  dochody i wydatki, które miały miejsce i  miałyby miejsce gdyby tej strategii nie było.</w:t>
      </w:r>
    </w:p>
    <w:p w:rsidR="00C762E7" w:rsidRDefault="00C762E7">
      <w:pPr>
        <w:rPr>
          <w:sz w:val="32"/>
          <w:szCs w:val="32"/>
        </w:rPr>
      </w:pPr>
      <w:r>
        <w:rPr>
          <w:sz w:val="32"/>
          <w:szCs w:val="32"/>
        </w:rPr>
        <w:t>W rozdziale o kapitale dla rozwoju, autorzy   przywołują bardzo ważne fakty:</w:t>
      </w:r>
    </w:p>
    <w:p w:rsidR="00C762E7" w:rsidRDefault="00C762E7">
      <w:pPr>
        <w:rPr>
          <w:rFonts w:ascii="Times New Roman" w:hAnsi="Times New Roman" w:cs="Times New Roman"/>
          <w:i/>
          <w:iCs/>
          <w:sz w:val="32"/>
          <w:szCs w:val="32"/>
        </w:rPr>
      </w:pPr>
      <w:r>
        <w:rPr>
          <w:i/>
          <w:iCs/>
          <w:sz w:val="32"/>
          <w:szCs w:val="32"/>
        </w:rPr>
        <w:t>„W latach 2004-2014 stopa oszczędności brutto wynosiła w Polsce średnio 17,8%, podczas gdy w Niemczech 26,2%, a w Czechach 24,2%. Szczególnie niski jest poziom oszczędności gospodarstw domowych. W latach 2006-2014 sięgał on 2,2% PKB, podczas gdy w Czechach wynosił 6,5%, a w Niemczech   11,1%. Średnia dla UE wynosiła 7,4%”.</w:t>
      </w:r>
    </w:p>
    <w:p w:rsidR="00C762E7" w:rsidRDefault="00C762E7">
      <w:pPr>
        <w:rPr>
          <w:rFonts w:ascii="Times New Roman" w:hAnsi="Times New Roman" w:cs="Times New Roman"/>
          <w:sz w:val="32"/>
          <w:szCs w:val="32"/>
        </w:rPr>
      </w:pPr>
      <w:r>
        <w:rPr>
          <w:sz w:val="32"/>
          <w:szCs w:val="32"/>
        </w:rPr>
        <w:t>Oszczędności krajowe pochodzą z trzech źródeł: gospodarstwa domowe, sektor rządowy oraz sektor przedsiębiorstw.  W Polsce gospodarstwa domowe oszczędzają istotnie bardzo  niewiele,  a sektor rządowy ma  wręcz systematycznie oszczędności ujemne, wynoszące  w okresie transformacji  średnio około 4% PKB rocznie. Oszczędzają tylko przedsiębiorstwa, ale część tych oszczędności przejmuje sektor rządowy.  Aby zwiększyć oszczędności krajowe o 10 pp. PKB, co proponuje Strategia, wystarczy wyeliminować deficyt sektora finansów publicznych oraz  spowodować aby gospodarstwa domowe zwiększyły własną stopę oszczędności o 6 pp. PKB. Te oszczędności trafiłyby do firm rodzinnych ,  finansowałyby większe budownictwo mieszkaniowe  oraz inwestycje średnich i dużych firm  poprze sektor bankowy  oraz giełdę papierów wartościowych.</w:t>
      </w:r>
    </w:p>
    <w:p w:rsidR="00C762E7" w:rsidRDefault="00C762E7">
      <w:pPr>
        <w:rPr>
          <w:sz w:val="32"/>
          <w:szCs w:val="32"/>
        </w:rPr>
      </w:pPr>
      <w:r>
        <w:rPr>
          <w:sz w:val="32"/>
          <w:szCs w:val="32"/>
        </w:rPr>
        <w:t xml:space="preserve"> Wicepremier Morawiecki często zauważa, że inwestycje zagraniczne i  zobowiązania kapitałowe Polski  wobec zagranicy to aż  około 100% PKB. Gdyby oszczędności gospodarstw domowych  były przez ostatnie 25 lat o 6 pp. PKB wyższe niż były w rzeczywistości,  to kapitał krajowy byłby wyższy o 150% PKB. W takiej  sytuacji rola kapitału zagranicznego mogłaby być dużo mniejsza. Te liczby pokazują , że </w:t>
      </w:r>
      <w:r>
        <w:rPr>
          <w:b/>
          <w:bCs/>
          <w:sz w:val="32"/>
          <w:szCs w:val="32"/>
        </w:rPr>
        <w:t>sukces strategii obecnego rządu w perspektywie długofalowej zależy w bardzo wysokim stopniu od  tego, czy uda się doprowadzić do  znacznego  wzrostu skłonności do oszczędzania gospodarstw domowych oraz do  eliminacji deficytu  w finansach publicznych</w:t>
      </w:r>
      <w:r>
        <w:rPr>
          <w:rFonts w:ascii="Times New Roman" w:hAnsi="Times New Roman" w:cs="Times New Roman"/>
          <w:b/>
          <w:bCs/>
          <w:sz w:val="32"/>
          <w:szCs w:val="32"/>
        </w:rPr>
        <w:t>.</w:t>
      </w:r>
      <w:r>
        <w:rPr>
          <w:sz w:val="32"/>
          <w:szCs w:val="32"/>
        </w:rPr>
        <w:t xml:space="preserve"> </w:t>
      </w:r>
    </w:p>
    <w:p w:rsidR="00C762E7" w:rsidRDefault="00C762E7">
      <w:pPr>
        <w:rPr>
          <w:rFonts w:ascii="Times New Roman" w:hAnsi="Times New Roman" w:cs="Times New Roman"/>
          <w:sz w:val="32"/>
          <w:szCs w:val="32"/>
        </w:rPr>
      </w:pPr>
      <w:r>
        <w:rPr>
          <w:sz w:val="32"/>
          <w:szCs w:val="32"/>
        </w:rPr>
        <w:t xml:space="preserve">  W dokumentach ministerstwa rozwoju po raz pierwszy pojawiły się  propozycje  działań nakierowanych na stymulowanie oszczędności gospodarstw domowych.  Omówienie tych propozycji zajmuje   niewiele miejsca, ale to potencjalnie najważniejsza część  całej Strategii. Ta część wymaga jednak dużo  solidniejszej analizy. Autorzy strategii  proponują założyć  spadek deficytu sektora finansów publicznych, ale spadek  powolny i  do roku 2020 niewielki .  W dodatku nie ma w dokumencie pokazania, że taki umiarkowany spadek jest możliwy. Obawiam się, że ta część strategii wisi niemal całkowicie na  sukcesie w uszczelnianiu systemu podatkowego</w:t>
      </w:r>
      <w:r>
        <w:rPr>
          <w:rFonts w:ascii="Times New Roman" w:hAnsi="Times New Roman" w:cs="Times New Roman"/>
          <w:sz w:val="32"/>
          <w:szCs w:val="32"/>
        </w:rPr>
        <w:t>.</w:t>
      </w:r>
    </w:p>
    <w:p w:rsidR="00C762E7" w:rsidRDefault="00C762E7">
      <w:pPr>
        <w:rPr>
          <w:rFonts w:ascii="Times New Roman" w:hAnsi="Times New Roman" w:cs="Times New Roman"/>
          <w:sz w:val="32"/>
          <w:szCs w:val="32"/>
        </w:rPr>
      </w:pPr>
      <w:r>
        <w:rPr>
          <w:sz w:val="32"/>
          <w:szCs w:val="32"/>
        </w:rPr>
        <w:t>W pytaniach organizatorów konferencji do panelistów oraz w samym dokumencie bardzo eksponowana jest rola  Polskiego Funduszu Rozwoju.   Tymczasem  według Tabeli 4  dokumentu „Strategii” średnioroczne wydatki  inwestycyjne tego funduszu w latach 2016-2020 mają wynieść około  22 mld zł, czyli około  5% wszystkich wydatków inwestycyjnych.  Zatem rzeczywista rola  tego funduszu , całkiem marginesowa teraz, ma i musi  pozostać marginesowa także w przyszłości.</w:t>
      </w:r>
    </w:p>
    <w:p w:rsidR="00C762E7" w:rsidRDefault="00C762E7">
      <w:pPr>
        <w:pStyle w:val="ListParagraph"/>
        <w:numPr>
          <w:ilvl w:val="0"/>
          <w:numId w:val="2"/>
        </w:numPr>
        <w:ind w:left="360"/>
        <w:rPr>
          <w:rFonts w:ascii="Times New Roman" w:hAnsi="Times New Roman" w:cs="Times New Roman"/>
          <w:sz w:val="32"/>
          <w:szCs w:val="32"/>
        </w:rPr>
      </w:pPr>
      <w:r>
        <w:rPr>
          <w:b/>
          <w:bCs/>
          <w:sz w:val="32"/>
          <w:szCs w:val="32"/>
        </w:rPr>
        <w:t xml:space="preserve">  Finanse publiczne</w:t>
      </w:r>
      <w:r>
        <w:rPr>
          <w:rFonts w:ascii="Times New Roman" w:hAnsi="Times New Roman" w:cs="Times New Roman"/>
          <w:sz w:val="32"/>
          <w:szCs w:val="32"/>
        </w:rPr>
        <w:br/>
      </w:r>
      <w:r>
        <w:rPr>
          <w:rFonts w:ascii="Times New Roman" w:hAnsi="Times New Roman" w:cs="Times New Roman"/>
          <w:b/>
          <w:bCs/>
          <w:sz w:val="32"/>
          <w:szCs w:val="32"/>
        </w:rPr>
        <w:br/>
      </w:r>
      <w:r>
        <w:rPr>
          <w:sz w:val="32"/>
          <w:szCs w:val="32"/>
        </w:rPr>
        <w:t>Punktem wyjścia do propozycji  w obszarze finansów publicznych jest projekt budżetu państwa na rok 2017. Projekt ten zakłada stosunkowo wysoki  wzrost realnego PKB, połączony z  szybkim wzrostem przeciętnego wynagrodzenia  oraz  znacznym wzrostem zatrudnienia</w:t>
      </w:r>
      <w:r>
        <w:rPr>
          <w:rFonts w:ascii="Times New Roman" w:hAnsi="Times New Roman" w:cs="Times New Roman"/>
          <w:sz w:val="32"/>
          <w:szCs w:val="32"/>
        </w:rPr>
        <w:t>.</w:t>
      </w:r>
      <w:r>
        <w:rPr>
          <w:sz w:val="32"/>
          <w:szCs w:val="32"/>
        </w:rPr>
        <w:t xml:space="preserve"> W takich stosunkowo dobrych okolicznościach powinniśmy mieć budżet zrównoważony albo nawet nadwyżkę budżetową . Tymczasem    rząd proponuje ustalić  wydatki  całego sektora finansów publicznych na poziomie  o blisko 3% PKB   przewyższającym dochody.  3% niedoboru to w UE  maksymalny poziom deficytu, akceptowany w  sytuacji  niemal zerowego wzrostu lub recesji .  Unikamy   wejścia w procedurę nadmiernego deficytu  tylko  przez  przyjęcie założenia, że  uszczelnianie systemu podatkowego przyniesie  10 mld zł. Wyniki uszczelniania są jednak niepewne.  </w:t>
      </w:r>
    </w:p>
    <w:p w:rsidR="00C762E7" w:rsidRDefault="00C762E7">
      <w:pPr>
        <w:ind w:left="360"/>
        <w:rPr>
          <w:sz w:val="32"/>
          <w:szCs w:val="32"/>
        </w:rPr>
      </w:pPr>
      <w:r>
        <w:rPr>
          <w:rFonts w:ascii="Times New Roman" w:hAnsi="Times New Roman" w:cs="Times New Roman"/>
          <w:sz w:val="32"/>
          <w:szCs w:val="32"/>
        </w:rPr>
        <w:br/>
        <w:t> </w:t>
      </w:r>
      <w:r>
        <w:rPr>
          <w:sz w:val="32"/>
          <w:szCs w:val="32"/>
        </w:rPr>
        <w:t xml:space="preserve">Od  dużego kryzysu w finansach publicznych w roku 2017  będą  chronić  nas decyzje o  faktycznym wycofaniu przez Pana Prezydenta  swojego wyborczego  projektu pomocowego dla frankowiczów  oraz  o przesunięciu  w czasie  dwóch innych kosztownych propozycji:  podniesienia kwoty wolnej od podatku oraz  obniżenia wieku emerytalnego  do 60 lat dla kobiet i 65 lat dla mężczyzn.  W rezultacie w finansach publicznych możemy mieć w przyszłym roku  kłopoty,  ale jeszcze  nie otwarty kryzys. Tym niemniej  ze strony niektórych ministrów mamy kilka  nowych mocno wydatkowych propozycji,  m. inn. wzrostu wydatków na zdrowie o 2pp PKB oraz wzrostu wydatków na obronę narodową o 1 pp PKB. </w:t>
      </w:r>
    </w:p>
    <w:p w:rsidR="00C762E7" w:rsidRDefault="00C762E7">
      <w:pPr>
        <w:ind w:left="360"/>
        <w:rPr>
          <w:sz w:val="32"/>
          <w:szCs w:val="32"/>
        </w:rPr>
      </w:pPr>
      <w:r>
        <w:rPr>
          <w:sz w:val="32"/>
          <w:szCs w:val="32"/>
        </w:rPr>
        <w:t xml:space="preserve">  Dług publiczny Polski  w postaci rynkowych obligacji Skarbu Państwa wynosi  dzisiaj  około 975 mld zł. W relacji do PKB oznacza to zadłużenie na poziomie 53,6%, czyli już powyżej pierwszego progu ostrożnościowego  52%.  Mamy rosnące ryzyko przekroczenia drugiego ważnego progu ostrożnościowego 55% PKB, co może zmusić większość parlamentarną do zawieszenia tego progu.  Kryzys w finansach publicznych mielibyśmy po przekroczeniu konstytucyjnego progu 60%.  Ten poziom byłby już przekroczony w tym roku, gdyby  rząd Tuska nie przejął około 150 mld zł środków OFE dwa lata temu.  Dla krajów zaawansowanych  gospodarczo  z dużym kapitałem zaufania, takich jak USA czy Niemcy, poziom zadłużenia  60% PKB nie jest problemem.  Dla krajów doganiających,  tzw. emerging markets, do których należy Polska</w:t>
      </w:r>
      <w:r>
        <w:rPr>
          <w:rFonts w:ascii="Times New Roman" w:hAnsi="Times New Roman" w:cs="Times New Roman"/>
          <w:sz w:val="32"/>
          <w:szCs w:val="32"/>
        </w:rPr>
        <w:t>,</w:t>
      </w:r>
      <w:r>
        <w:rPr>
          <w:sz w:val="32"/>
          <w:szCs w:val="32"/>
        </w:rPr>
        <w:t xml:space="preserve">  negatywny wpływ długu publicznego na inwestycje i wzrost gospodarczy zaczyna się  już po przekroczeniu poziomu zadłużenia 30% PKB.</w:t>
      </w:r>
    </w:p>
    <w:p w:rsidR="00C762E7" w:rsidRDefault="00C762E7">
      <w:pPr>
        <w:ind w:left="360"/>
        <w:rPr>
          <w:rFonts w:ascii="Times New Roman" w:hAnsi="Times New Roman" w:cs="Times New Roman"/>
          <w:sz w:val="32"/>
          <w:szCs w:val="32"/>
        </w:rPr>
      </w:pPr>
      <w:r>
        <w:rPr>
          <w:sz w:val="32"/>
          <w:szCs w:val="32"/>
        </w:rPr>
        <w:t>Autorzy projektu Strategii    ograniczają swoją projekcję deficytu sektora finansów publicznych do  lat 2017-2020, chociaż dokument dotyczy także lat 2020-2030.  Projekt nie może rozstrzygać losu wyborczych propozycji PiS-u, ale powinien  zająć wyrażne stanowisko w   następujących kwestiach:</w:t>
      </w:r>
    </w:p>
    <w:p w:rsidR="00C762E7" w:rsidRDefault="00C762E7">
      <w:pPr>
        <w:ind w:left="360"/>
        <w:rPr>
          <w:rFonts w:ascii="Times New Roman" w:hAnsi="Times New Roman" w:cs="Times New Roman"/>
          <w:sz w:val="32"/>
          <w:szCs w:val="32"/>
        </w:rPr>
      </w:pPr>
      <w:r>
        <w:rPr>
          <w:rFonts w:ascii="Times New Roman" w:hAnsi="Times New Roman" w:cs="Times New Roman"/>
          <w:sz w:val="32"/>
          <w:szCs w:val="32"/>
        </w:rPr>
        <w:t>-</w:t>
      </w:r>
      <w:r>
        <w:rPr>
          <w:sz w:val="32"/>
          <w:szCs w:val="32"/>
        </w:rPr>
        <w:t xml:space="preserve">  deficyt sektora finansów publicznych powinien oscylować w przedziale od nadwyżki 3% PKB do deficytu 3% PKB, a nie , jak dotąd  od roku 1991, w przedziale od deficytu 2% PKB do deficytu 8% PKB;</w:t>
      </w:r>
    </w:p>
    <w:p w:rsidR="00C762E7" w:rsidRDefault="00C762E7">
      <w:pPr>
        <w:ind w:left="360"/>
        <w:rPr>
          <w:rFonts w:ascii="Times New Roman" w:hAnsi="Times New Roman" w:cs="Times New Roman"/>
          <w:sz w:val="32"/>
          <w:szCs w:val="32"/>
        </w:rPr>
      </w:pPr>
      <w:r>
        <w:rPr>
          <w:sz w:val="32"/>
          <w:szCs w:val="32"/>
        </w:rPr>
        <w:t>- dług publiczny Polski  jest w zbyt wysokim stopniu długiem zagranicznym, co zwiększa ryzyko niestabilności ;</w:t>
      </w:r>
    </w:p>
    <w:p w:rsidR="00C762E7" w:rsidRDefault="00C762E7">
      <w:pPr>
        <w:ind w:left="360"/>
        <w:rPr>
          <w:rFonts w:ascii="Times New Roman" w:hAnsi="Times New Roman" w:cs="Times New Roman"/>
          <w:sz w:val="32"/>
          <w:szCs w:val="32"/>
        </w:rPr>
      </w:pPr>
      <w:r>
        <w:rPr>
          <w:sz w:val="32"/>
          <w:szCs w:val="32"/>
        </w:rPr>
        <w:t>-  wysokie rentowności   skarbowych papierów wartościowych, dużo wyższe niż  w przypadku krajów sąsiednich należących do UE,  świadczą o niskim kapitale zaufania do Polski na światowych rynkach finansowych i wymagają znacznego  obniżenia w najbliższych 10-15 latach  relacji rynkowego długu publicznego do PKB,  perspektywicznie  najlepiej do poziomu poniżej 30%, przynajmniej do poziomu poniżej 40%;</w:t>
      </w:r>
    </w:p>
    <w:p w:rsidR="00C762E7" w:rsidRDefault="00C762E7">
      <w:pPr>
        <w:ind w:left="360"/>
        <w:rPr>
          <w:rFonts w:ascii="Times New Roman" w:hAnsi="Times New Roman" w:cs="Times New Roman"/>
          <w:sz w:val="32"/>
          <w:szCs w:val="32"/>
        </w:rPr>
      </w:pPr>
      <w:r>
        <w:rPr>
          <w:sz w:val="32"/>
          <w:szCs w:val="32"/>
        </w:rPr>
        <w:t xml:space="preserve">-  eskalacja sporu wobec TK i  generalnie  władzy sądowniczej zwiększa niepewność , obniża wiarygodność kredytową Polski i  podwyższa ryzyko inwestycyjne, w  rezultacie   zniechęca  do inwestycji; </w:t>
      </w:r>
    </w:p>
    <w:p w:rsidR="00C762E7" w:rsidRDefault="00C762E7">
      <w:pPr>
        <w:ind w:left="360"/>
        <w:rPr>
          <w:sz w:val="32"/>
          <w:szCs w:val="32"/>
        </w:rPr>
      </w:pPr>
      <w:r>
        <w:rPr>
          <w:sz w:val="32"/>
          <w:szCs w:val="32"/>
        </w:rPr>
        <w:t>- Krajowe reguły  liczenia deficytu państwa  i  rynkowego długu publicznego powinny  być zmienione, być taka same jak ESA 2010 , przyjęte  przez Eurostat w roku 2013 dla krajów UE;</w:t>
      </w:r>
    </w:p>
    <w:p w:rsidR="00C762E7" w:rsidRDefault="00C762E7">
      <w:pPr>
        <w:ind w:left="360"/>
        <w:rPr>
          <w:rFonts w:ascii="Times New Roman" w:hAnsi="Times New Roman" w:cs="Times New Roman"/>
          <w:sz w:val="32"/>
          <w:szCs w:val="32"/>
        </w:rPr>
      </w:pPr>
      <w:r>
        <w:rPr>
          <w:sz w:val="32"/>
          <w:szCs w:val="32"/>
        </w:rPr>
        <w:t xml:space="preserve">       Dokument  „Strategia”  powinien też poinformować  i poddać dyskusji publicznej dane -  na dzisiaj i prognozowanych do roku 2030 -  w odniesieniu do  państwowego systemu emerytalnego o tzw.  </w:t>
      </w:r>
      <w:r>
        <w:rPr>
          <w:i/>
          <w:iCs/>
          <w:sz w:val="32"/>
          <w:szCs w:val="32"/>
        </w:rPr>
        <w:t xml:space="preserve">implicit public debt </w:t>
      </w:r>
      <w:r>
        <w:rPr>
          <w:rFonts w:ascii="Times New Roman" w:hAnsi="Times New Roman" w:cs="Times New Roman"/>
          <w:sz w:val="32"/>
          <w:szCs w:val="32"/>
        </w:rPr>
        <w:t>.</w:t>
      </w:r>
    </w:p>
    <w:p w:rsidR="00C762E7" w:rsidRDefault="00C762E7">
      <w:pPr>
        <w:ind w:left="360"/>
        <w:rPr>
          <w:rFonts w:ascii="Times New Roman" w:hAnsi="Times New Roman" w:cs="Times New Roman"/>
          <w:sz w:val="32"/>
          <w:szCs w:val="32"/>
        </w:rPr>
      </w:pPr>
    </w:p>
    <w:p w:rsidR="00C762E7" w:rsidRDefault="00C762E7">
      <w:pPr>
        <w:pStyle w:val="ListParagraph"/>
        <w:numPr>
          <w:ilvl w:val="0"/>
          <w:numId w:val="2"/>
        </w:numPr>
        <w:rPr>
          <w:b/>
          <w:bCs/>
          <w:sz w:val="32"/>
          <w:szCs w:val="32"/>
        </w:rPr>
      </w:pPr>
      <w:r>
        <w:rPr>
          <w:b/>
          <w:bCs/>
          <w:sz w:val="32"/>
          <w:szCs w:val="32"/>
        </w:rPr>
        <w:t>Uwagi końcowe</w:t>
      </w:r>
    </w:p>
    <w:p w:rsidR="00C762E7" w:rsidRDefault="00C762E7">
      <w:pPr>
        <w:ind w:left="360"/>
        <w:rPr>
          <w:rFonts w:ascii="Times New Roman" w:hAnsi="Times New Roman" w:cs="Times New Roman"/>
          <w:sz w:val="32"/>
          <w:szCs w:val="32"/>
        </w:rPr>
      </w:pPr>
      <w:r>
        <w:rPr>
          <w:sz w:val="32"/>
          <w:szCs w:val="32"/>
        </w:rPr>
        <w:t xml:space="preserve">Największym zagrożeniem dla finansowej  stabilności i  gospodarczego  rozwoju w najbliższych latach były dotąd wyborcze propozycje   PiS-u dotyczące  frankowiczów,  zwiększenia kwoty wolnej od podatku   oraz powrotu do  wieku emerytalnego 60/65 lat. Status tych propozycji nie jest w tej chwili  jasny.   Nie wspomina o nich, a powinien,  dyskutowany przez nas  projekt „Strategii”. Tymczasem w okresie do roku 2030 potrzebne jest przynajmniej zrównanie wieku emerytalnego   kobiet i mężczyzna na poziomie 65 lat, a póżniej  praktycznie nieuniknione  jest  stopniowe podnoszenie tego wieku do np.  67 lat.  Potrzebne jest także  wycofanie się z wyborczej  propozycji silnego podniesienia kwoty wolnej od podatku. Aby wyjść naprzeciw jednego z orzeczeń Trybunałui Konstytucyjnego,  wystarczy ustawa o zwrocie  podatku PIT osobom  z dochodami do opodatkowania poniżej minimum socjalnego.  Potrzebny jest też program , który zapobiegnie przewidywanemu  przez demografów bardzo dużemu i dość szybkiemu   w latach do połowy obecnego wieku spadkowi liczby ludności  Polski, program dużo bardziej efektywny  niż  500+. </w:t>
      </w:r>
    </w:p>
    <w:p w:rsidR="00C762E7" w:rsidRDefault="00C762E7">
      <w:pPr>
        <w:ind w:left="360"/>
        <w:rPr>
          <w:rFonts w:ascii="Times New Roman" w:hAnsi="Times New Roman" w:cs="Times New Roman"/>
          <w:b/>
          <w:bCs/>
          <w:sz w:val="32"/>
          <w:szCs w:val="32"/>
        </w:rPr>
      </w:pPr>
      <w:r>
        <w:rPr>
          <w:sz w:val="32"/>
          <w:szCs w:val="32"/>
        </w:rPr>
        <w:t xml:space="preserve"> Ale dla realizacji  ambitnych celów „Strategii” w obszarze  tempa i stabilności rozwoju gospodarczego kluczowa jest  realność   propozycji wzrostu udziału  oszczędności krajowych w  PKB o około 10 pp. W tym obszarze potrzebne jest przejście od  okrągłych sformułowań do przedstawienia ilościowych symulacji dotyczących proponowanego  silnego zwiększenia skłonności do oszczędzania przez gospodarstwa domowe  oraz poprawy finansowania  budżetu państwa . W tym obszarze mamy poprawę w stosunku do wersji „Strategii” z marca , ale  poprawę nadal całkowicie niedostateczną. </w:t>
      </w:r>
    </w:p>
    <w:sectPr w:rsidR="00C762E7" w:rsidSect="00C762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3EE"/>
    <w:multiLevelType w:val="hybridMultilevel"/>
    <w:tmpl w:val="57340070"/>
    <w:lvl w:ilvl="0" w:tplc="071E60E2">
      <w:start w:val="1"/>
      <w:numFmt w:val="upperRoman"/>
      <w:lvlText w:val="%1."/>
      <w:lvlJc w:val="left"/>
      <w:pPr>
        <w:ind w:left="720" w:hanging="72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0BB8317F"/>
    <w:multiLevelType w:val="hybridMultilevel"/>
    <w:tmpl w:val="6D3C212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2E7"/>
    <w:rsid w:val="00C762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2855</Words>
  <Characters>16275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Stanisław  Gomułka</dc:title>
  <dc:subject/>
  <dc:creator>SG</dc:creator>
  <cp:keywords/>
  <dc:description/>
  <cp:lastModifiedBy>Michal</cp:lastModifiedBy>
  <cp:revision>2</cp:revision>
  <cp:lastPrinted>2016-08-25T09:48:00Z</cp:lastPrinted>
  <dcterms:created xsi:type="dcterms:W3CDTF">2016-10-11T07:26:00Z</dcterms:created>
  <dcterms:modified xsi:type="dcterms:W3CDTF">2016-10-11T07:26:00Z</dcterms:modified>
</cp:coreProperties>
</file>